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pPr>
        <w:pStyle w:val="Heading1"/>
      </w:pPr>
      <w:bookmarkStart w:id="0" w:name="_GoBack"/>
      <w:bookmarkEnd w:id="0"/>
      <w:r>
        <w:t>Supplementary Material</w:t>
      </w:r>
    </w:p>
    <w:p/>
    <w:p>
      <w:pPr>
        <w:pStyle w:val="Heading2"/>
        <w:spacing w:line="360" w:lineRule="auto"/>
      </w:pPr>
      <w:r>
        <w:t>Additional Information Regarding the Delta Method and Boundary Conditions</w:t>
      </w:r>
    </w:p>
    <w:p>
      <w:r>
        <w:t>Delta method sources and application:</w:t>
      </w:r>
    </w:p>
    <w:p/>
    <w:p>
      <w:pPr>
        <w:pStyle w:val="Caption"/>
        <w:rPr>
          <w:rFonts w:cstheme="minorHAnsi"/>
          <w:color w:val="000000" w:themeColor="text1"/>
          <w:sz w:val="20"/>
          <w:szCs w:val="20"/>
        </w:rPr>
      </w:pPr>
      <w:bookmarkStart w:id="1" w:name="_Ref70669032"/>
      <w:r>
        <w:rPr>
          <w:rFonts w:cstheme="minorHAnsi"/>
          <w:color w:val="000000" w:themeColor="text1"/>
          <w:sz w:val="20"/>
          <w:szCs w:val="20"/>
        </w:rPr>
        <w:t>Table S-</w:t>
      </w:r>
      <w:r>
        <w:rPr>
          <w:rFonts w:cstheme="minorHAnsi"/>
          <w:color w:val="000000" w:themeColor="text1"/>
          <w:sz w:val="20"/>
          <w:szCs w:val="20"/>
        </w:rPr>
        <w:fldChar w:fldCharType="begin"/>
      </w:r>
      <w:r>
        <w:rPr>
          <w:rFonts w:cstheme="minorHAnsi"/>
          <w:color w:val="000000" w:themeColor="text1"/>
          <w:sz w:val="20"/>
          <w:szCs w:val="20"/>
        </w:rPr>
        <w:instrText xml:space="preserve"> SEQ Table \* ARABIC </w:instrText>
      </w:r>
      <w:r>
        <w:rPr>
          <w:rFonts w:cstheme="minorHAnsi"/>
          <w:color w:val="000000" w:themeColor="text1"/>
          <w:sz w:val="20"/>
          <w:szCs w:val="20"/>
        </w:rPr>
        <w:fldChar w:fldCharType="separate"/>
      </w:r>
      <w:r>
        <w:rPr>
          <w:rFonts w:cstheme="minorHAnsi"/>
          <w:noProof/>
          <w:color w:val="000000" w:themeColor="text1"/>
          <w:sz w:val="20"/>
          <w:szCs w:val="20"/>
        </w:rPr>
        <w:t>3</w:t>
      </w:r>
      <w:r>
        <w:rPr>
          <w:rFonts w:cstheme="minorHAnsi"/>
          <w:color w:val="000000" w:themeColor="text1"/>
          <w:sz w:val="20"/>
          <w:szCs w:val="20"/>
        </w:rPr>
        <w:fldChar w:fldCharType="end"/>
      </w:r>
      <w:bookmarkEnd w:id="1"/>
      <w:r>
        <w:rPr>
          <w:rFonts w:cstheme="minorHAnsi"/>
          <w:color w:val="000000" w:themeColor="text1"/>
          <w:sz w:val="20"/>
          <w:szCs w:val="20"/>
        </w:rPr>
        <w:t xml:space="preserve"> - Model fields to which Deltas were added, and the source from which Deltas were calculated. Note that ROMS can read humidity as either relative humidity (%) or specific humidity (g kg</w:t>
      </w:r>
      <w:r>
        <w:rPr>
          <w:rFonts w:cstheme="minorHAnsi"/>
          <w:color w:val="000000" w:themeColor="text1"/>
          <w:sz w:val="20"/>
          <w:szCs w:val="20"/>
          <w:vertAlign w:val="superscript"/>
        </w:rPr>
        <w:t>-1</w:t>
      </w:r>
      <w:r>
        <w:rPr>
          <w:rFonts w:cstheme="minorHAnsi"/>
          <w:color w:val="000000" w:themeColor="text1"/>
          <w:sz w:val="20"/>
          <w:szCs w:val="20"/>
        </w:rPr>
        <w:t>)</w:t>
      </w:r>
    </w:p>
    <w:tbl>
      <w:tblPr>
        <w:tblStyle w:val="PlainTable2"/>
        <w:tblW w:w="0" w:type="auto"/>
        <w:tblLook w:val="04A0" w:firstRow="1" w:lastRow="0" w:firstColumn="1" w:lastColumn="0" w:noHBand="0" w:noVBand="1"/>
      </w:tblPr>
      <w:tblGrid>
        <w:gridCol w:w="2970"/>
        <w:gridCol w:w="1980"/>
        <w:gridCol w:w="1800"/>
        <w:gridCol w:w="2520"/>
      </w:tblGrid>
      <w:tr>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0" w:type="dxa"/>
          </w:tcPr>
          <w:p>
            <w:pPr>
              <w:spacing w:before="120" w:after="120" w:line="276" w:lineRule="auto"/>
              <w:rPr>
                <w:rFonts w:cstheme="minorHAnsi"/>
                <w:color w:val="000000" w:themeColor="text1"/>
              </w:rPr>
            </w:pPr>
            <w:r>
              <w:rPr>
                <w:rFonts w:cstheme="minorHAnsi"/>
                <w:color w:val="000000" w:themeColor="text1"/>
              </w:rPr>
              <w:t>Description</w:t>
            </w:r>
          </w:p>
        </w:tc>
        <w:tc>
          <w:tcPr>
            <w:tcW w:w="1980" w:type="dxa"/>
          </w:tcPr>
          <w:p>
            <w:pPr>
              <w:spacing w:before="120" w:after="120" w:line="276" w:lineRule="auto"/>
              <w:cnfStyle w:val="100000000000" w:firstRow="1" w:lastRow="0" w:firstColumn="0" w:lastColumn="0" w:oddVBand="0" w:evenVBand="0" w:oddHBand="0" w:evenHBand="0" w:firstRowFirstColumn="0" w:firstRowLastColumn="0" w:lastRowFirstColumn="0" w:lastRowLastColumn="0"/>
              <w:rPr>
                <w:rFonts w:cstheme="minorHAnsi"/>
                <w:color w:val="000000" w:themeColor="text1"/>
              </w:rPr>
            </w:pPr>
            <w:r>
              <w:rPr>
                <w:rFonts w:cstheme="minorHAnsi"/>
                <w:color w:val="000000" w:themeColor="text1"/>
              </w:rPr>
              <w:t>ROMS Variable</w:t>
            </w:r>
          </w:p>
        </w:tc>
        <w:tc>
          <w:tcPr>
            <w:tcW w:w="1800" w:type="dxa"/>
          </w:tcPr>
          <w:p>
            <w:pPr>
              <w:spacing w:before="120" w:after="120" w:line="276" w:lineRule="auto"/>
              <w:jc w:val="center"/>
              <w:cnfStyle w:val="100000000000" w:firstRow="1" w:lastRow="0" w:firstColumn="0" w:lastColumn="0" w:oddVBand="0" w:evenVBand="0" w:oddHBand="0" w:evenHBand="0" w:firstRowFirstColumn="0" w:firstRowLastColumn="0" w:lastRowFirstColumn="0" w:lastRowLastColumn="0"/>
              <w:rPr>
                <w:rFonts w:cstheme="minorHAnsi"/>
                <w:color w:val="000000" w:themeColor="text1"/>
              </w:rPr>
            </w:pPr>
            <w:r>
              <w:rPr>
                <w:rFonts w:cstheme="minorHAnsi"/>
                <w:color w:val="000000" w:themeColor="text1"/>
              </w:rPr>
              <w:t>Units</w:t>
            </w:r>
          </w:p>
        </w:tc>
        <w:tc>
          <w:tcPr>
            <w:tcW w:w="2520" w:type="dxa"/>
          </w:tcPr>
          <w:p>
            <w:pPr>
              <w:spacing w:before="120" w:after="120" w:line="276" w:lineRule="auto"/>
              <w:jc w:val="center"/>
              <w:cnfStyle w:val="100000000000" w:firstRow="1" w:lastRow="0" w:firstColumn="0" w:lastColumn="0" w:oddVBand="0" w:evenVBand="0" w:oddHBand="0" w:evenHBand="0" w:firstRowFirstColumn="0" w:firstRowLastColumn="0" w:lastRowFirstColumn="0" w:lastRowLastColumn="0"/>
              <w:rPr>
                <w:rFonts w:cstheme="minorHAnsi"/>
                <w:color w:val="000000" w:themeColor="text1"/>
              </w:rPr>
            </w:pPr>
            <w:r>
              <w:rPr>
                <w:rFonts w:cstheme="minorHAnsi"/>
                <w:color w:val="000000" w:themeColor="text1"/>
              </w:rPr>
              <w:t>Source</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0" w:type="dxa"/>
          </w:tcPr>
          <w:p>
            <w:pPr>
              <w:spacing w:before="120" w:after="120" w:line="276" w:lineRule="auto"/>
              <w:rPr>
                <w:rFonts w:cstheme="minorHAnsi"/>
                <w:b w:val="0"/>
                <w:color w:val="000000" w:themeColor="text1"/>
              </w:rPr>
            </w:pPr>
            <w:r>
              <w:rPr>
                <w:rFonts w:cstheme="minorHAnsi"/>
                <w:b w:val="0"/>
                <w:color w:val="000000" w:themeColor="text1"/>
              </w:rPr>
              <w:t>3D salinity</w:t>
            </w:r>
          </w:p>
        </w:tc>
        <w:tc>
          <w:tcPr>
            <w:tcW w:w="1980" w:type="dxa"/>
          </w:tcPr>
          <w:p>
            <w:pPr>
              <w:spacing w:before="120" w:after="120" w:line="276" w:lineRule="auto"/>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r>
              <w:rPr>
                <w:rFonts w:cstheme="minorHAnsi"/>
                <w:color w:val="000000" w:themeColor="text1"/>
              </w:rPr>
              <w:t>salt</w:t>
            </w:r>
          </w:p>
        </w:tc>
        <w:tc>
          <w:tcPr>
            <w:tcW w:w="1800" w:type="dxa"/>
          </w:tcPr>
          <w:p>
            <w:pPr>
              <w:spacing w:before="120" w:after="120" w:line="276" w:lineRule="auto"/>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r>
              <w:rPr>
                <w:rFonts w:cstheme="minorHAnsi"/>
                <w:color w:val="000000" w:themeColor="text1"/>
              </w:rPr>
              <w:t>PSU</w:t>
            </w:r>
          </w:p>
        </w:tc>
        <w:tc>
          <w:tcPr>
            <w:tcW w:w="2520" w:type="dxa"/>
            <w:vMerge w:val="restart"/>
            <w:vAlign w:val="center"/>
          </w:tcPr>
          <w:p>
            <w:pPr>
              <w:spacing w:before="120" w:after="120" w:line="276" w:lineRule="auto"/>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r>
              <w:rPr>
                <w:rFonts w:cstheme="minorHAnsi"/>
                <w:color w:val="000000" w:themeColor="text1"/>
              </w:rPr>
              <w:t>NWA ROMS output</w:t>
            </w:r>
          </w:p>
        </w:tc>
      </w:tr>
      <w:tr>
        <w:tc>
          <w:tcPr>
            <w:cnfStyle w:val="001000000000" w:firstRow="0" w:lastRow="0" w:firstColumn="1" w:lastColumn="0" w:oddVBand="0" w:evenVBand="0" w:oddHBand="0" w:evenHBand="0" w:firstRowFirstColumn="0" w:firstRowLastColumn="0" w:lastRowFirstColumn="0" w:lastRowLastColumn="0"/>
            <w:tcW w:w="2970" w:type="dxa"/>
          </w:tcPr>
          <w:p>
            <w:pPr>
              <w:spacing w:before="120" w:after="120" w:line="276" w:lineRule="auto"/>
              <w:rPr>
                <w:rFonts w:cstheme="minorHAnsi"/>
                <w:b w:val="0"/>
                <w:color w:val="000000" w:themeColor="text1"/>
              </w:rPr>
            </w:pPr>
            <w:r>
              <w:rPr>
                <w:rFonts w:cstheme="minorHAnsi"/>
                <w:b w:val="0"/>
                <w:color w:val="000000" w:themeColor="text1"/>
              </w:rPr>
              <w:t>3D temperature</w:t>
            </w:r>
          </w:p>
        </w:tc>
        <w:tc>
          <w:tcPr>
            <w:tcW w:w="1980" w:type="dxa"/>
          </w:tcPr>
          <w:p>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Pr>
                <w:rFonts w:cstheme="minorHAnsi"/>
                <w:color w:val="000000" w:themeColor="text1"/>
              </w:rPr>
              <w:t>temp</w:t>
            </w:r>
          </w:p>
        </w:tc>
        <w:tc>
          <w:tcPr>
            <w:tcW w:w="1800" w:type="dxa"/>
          </w:tcPr>
          <w:p>
            <w:pPr>
              <w:spacing w:before="120" w:after="120" w:line="276"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m:oMathPara>
              <m:oMath>
                <m:r>
                  <w:rPr>
                    <w:rFonts w:ascii="Cambria Math" w:hAnsi="Cambria Math" w:cstheme="minorHAnsi"/>
                    <w:color w:val="000000" w:themeColor="text1"/>
                  </w:rPr>
                  <m:t>℃</m:t>
                </m:r>
              </m:oMath>
            </m:oMathPara>
          </w:p>
        </w:tc>
        <w:tc>
          <w:tcPr>
            <w:tcW w:w="2520" w:type="dxa"/>
            <w:vMerge/>
          </w:tcPr>
          <w:p>
            <w:pPr>
              <w:spacing w:before="120" w:after="120" w:line="276"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0" w:type="dxa"/>
          </w:tcPr>
          <w:p>
            <w:pPr>
              <w:spacing w:before="120" w:after="120" w:line="276" w:lineRule="auto"/>
              <w:rPr>
                <w:rFonts w:cstheme="minorHAnsi"/>
                <w:b w:val="0"/>
                <w:color w:val="000000" w:themeColor="text1"/>
              </w:rPr>
            </w:pPr>
            <w:r>
              <w:rPr>
                <w:rFonts w:cstheme="minorHAnsi"/>
                <w:b w:val="0"/>
                <w:color w:val="000000" w:themeColor="text1"/>
              </w:rPr>
              <w:t>3D velocity</w:t>
            </w:r>
          </w:p>
        </w:tc>
        <w:tc>
          <w:tcPr>
            <w:tcW w:w="1980" w:type="dxa"/>
          </w:tcPr>
          <w:p>
            <w:pPr>
              <w:spacing w:before="120" w:after="120" w:line="276" w:lineRule="auto"/>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r>
              <w:rPr>
                <w:rFonts w:cstheme="minorHAnsi"/>
                <w:color w:val="000000" w:themeColor="text1"/>
              </w:rPr>
              <w:t>u/v</w:t>
            </w:r>
          </w:p>
        </w:tc>
        <w:tc>
          <w:tcPr>
            <w:tcW w:w="1800" w:type="dxa"/>
          </w:tcPr>
          <w:p>
            <w:pPr>
              <w:spacing w:before="120" w:after="120" w:line="276" w:lineRule="auto"/>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r>
              <w:rPr>
                <w:rFonts w:cstheme="minorHAnsi"/>
                <w:color w:val="000000" w:themeColor="text1"/>
              </w:rPr>
              <w:t>m/s</w:t>
            </w:r>
          </w:p>
        </w:tc>
        <w:tc>
          <w:tcPr>
            <w:tcW w:w="2520" w:type="dxa"/>
            <w:vMerge/>
          </w:tcPr>
          <w:p>
            <w:pPr>
              <w:spacing w:before="120" w:after="120" w:line="276" w:lineRule="auto"/>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p>
        </w:tc>
      </w:tr>
      <w:tr>
        <w:tc>
          <w:tcPr>
            <w:cnfStyle w:val="001000000000" w:firstRow="0" w:lastRow="0" w:firstColumn="1" w:lastColumn="0" w:oddVBand="0" w:evenVBand="0" w:oddHBand="0" w:evenHBand="0" w:firstRowFirstColumn="0" w:firstRowLastColumn="0" w:lastRowFirstColumn="0" w:lastRowLastColumn="0"/>
            <w:tcW w:w="2970" w:type="dxa"/>
          </w:tcPr>
          <w:p>
            <w:pPr>
              <w:spacing w:before="120" w:after="120" w:line="276" w:lineRule="auto"/>
              <w:rPr>
                <w:rFonts w:cstheme="minorHAnsi"/>
                <w:b w:val="0"/>
                <w:color w:val="000000" w:themeColor="text1"/>
              </w:rPr>
            </w:pPr>
            <w:r>
              <w:rPr>
                <w:rFonts w:cstheme="minorHAnsi"/>
                <w:b w:val="0"/>
                <w:color w:val="000000" w:themeColor="text1"/>
              </w:rPr>
              <w:t>2D sea surface height</w:t>
            </w:r>
          </w:p>
        </w:tc>
        <w:tc>
          <w:tcPr>
            <w:tcW w:w="1980" w:type="dxa"/>
          </w:tcPr>
          <w:p>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Pr>
                <w:rFonts w:cstheme="minorHAnsi"/>
                <w:color w:val="000000" w:themeColor="text1"/>
              </w:rPr>
              <w:t>zeta</w:t>
            </w:r>
          </w:p>
        </w:tc>
        <w:tc>
          <w:tcPr>
            <w:tcW w:w="1800" w:type="dxa"/>
          </w:tcPr>
          <w:p>
            <w:pPr>
              <w:spacing w:before="120" w:after="120" w:line="276"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Pr>
                <w:rFonts w:cstheme="minorHAnsi"/>
                <w:color w:val="000000" w:themeColor="text1"/>
              </w:rPr>
              <w:t>m</w:t>
            </w:r>
          </w:p>
        </w:tc>
        <w:tc>
          <w:tcPr>
            <w:tcW w:w="2520" w:type="dxa"/>
            <w:vMerge/>
          </w:tcPr>
          <w:p>
            <w:pPr>
              <w:spacing w:before="120" w:after="120" w:line="276"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0" w:type="dxa"/>
          </w:tcPr>
          <w:p>
            <w:pPr>
              <w:spacing w:before="120" w:after="120" w:line="276" w:lineRule="auto"/>
              <w:rPr>
                <w:rFonts w:cstheme="minorHAnsi"/>
                <w:b w:val="0"/>
                <w:color w:val="000000" w:themeColor="text1"/>
              </w:rPr>
            </w:pPr>
            <w:r>
              <w:rPr>
                <w:rFonts w:cstheme="minorHAnsi"/>
                <w:b w:val="0"/>
                <w:color w:val="000000" w:themeColor="text1"/>
              </w:rPr>
              <w:t>Sea level air pressure</w:t>
            </w:r>
          </w:p>
        </w:tc>
        <w:tc>
          <w:tcPr>
            <w:tcW w:w="1980" w:type="dxa"/>
          </w:tcPr>
          <w:p>
            <w:pPr>
              <w:spacing w:before="120" w:after="120" w:line="276" w:lineRule="auto"/>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r>
              <w:rPr>
                <w:rFonts w:cstheme="minorHAnsi"/>
                <w:color w:val="000000" w:themeColor="text1"/>
              </w:rPr>
              <w:t>P</w:t>
            </w:r>
            <w:r>
              <w:rPr>
                <w:rFonts w:cstheme="minorHAnsi"/>
                <w:color w:val="000000" w:themeColor="text1"/>
                <w:vertAlign w:val="subscript"/>
              </w:rPr>
              <w:t>air</w:t>
            </w:r>
          </w:p>
        </w:tc>
        <w:tc>
          <w:tcPr>
            <w:tcW w:w="1800" w:type="dxa"/>
          </w:tcPr>
          <w:p>
            <w:pPr>
              <w:spacing w:before="120" w:after="120" w:line="276" w:lineRule="auto"/>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r>
              <w:rPr>
                <w:rFonts w:cstheme="minorHAnsi"/>
                <w:color w:val="000000" w:themeColor="text1"/>
              </w:rPr>
              <w:t>mbar</w:t>
            </w:r>
          </w:p>
        </w:tc>
        <w:tc>
          <w:tcPr>
            <w:tcW w:w="2520" w:type="dxa"/>
            <w:vMerge w:val="restart"/>
            <w:vAlign w:val="center"/>
          </w:tcPr>
          <w:p>
            <w:pPr>
              <w:spacing w:before="120" w:after="120" w:line="276" w:lineRule="auto"/>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r>
              <w:rPr>
                <w:rFonts w:cstheme="minorHAnsi"/>
                <w:color w:val="000000" w:themeColor="text1"/>
              </w:rPr>
              <w:t>GFDL-ESM2M</w:t>
            </w:r>
          </w:p>
        </w:tc>
      </w:tr>
      <w:tr>
        <w:tc>
          <w:tcPr>
            <w:cnfStyle w:val="001000000000" w:firstRow="0" w:lastRow="0" w:firstColumn="1" w:lastColumn="0" w:oddVBand="0" w:evenVBand="0" w:oddHBand="0" w:evenHBand="0" w:firstRowFirstColumn="0" w:firstRowLastColumn="0" w:lastRowFirstColumn="0" w:lastRowLastColumn="0"/>
            <w:tcW w:w="2970" w:type="dxa"/>
          </w:tcPr>
          <w:p>
            <w:pPr>
              <w:spacing w:before="120" w:after="120" w:line="276" w:lineRule="auto"/>
              <w:rPr>
                <w:rFonts w:cstheme="minorHAnsi"/>
                <w:b w:val="0"/>
                <w:color w:val="000000" w:themeColor="text1"/>
              </w:rPr>
            </w:pPr>
            <w:r>
              <w:rPr>
                <w:rFonts w:cstheme="minorHAnsi"/>
                <w:b w:val="0"/>
                <w:color w:val="000000" w:themeColor="text1"/>
              </w:rPr>
              <w:t>Surface relative humidity</w:t>
            </w:r>
          </w:p>
        </w:tc>
        <w:tc>
          <w:tcPr>
            <w:tcW w:w="1980" w:type="dxa"/>
          </w:tcPr>
          <w:p>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proofErr w:type="spellStart"/>
            <w:r>
              <w:rPr>
                <w:rFonts w:cstheme="minorHAnsi"/>
                <w:color w:val="000000" w:themeColor="text1"/>
              </w:rPr>
              <w:t>Q</w:t>
            </w:r>
            <w:r>
              <w:rPr>
                <w:rFonts w:cstheme="minorHAnsi"/>
                <w:color w:val="000000" w:themeColor="text1"/>
                <w:vertAlign w:val="subscript"/>
              </w:rPr>
              <w:t>air</w:t>
            </w:r>
            <w:proofErr w:type="spellEnd"/>
          </w:p>
        </w:tc>
        <w:tc>
          <w:tcPr>
            <w:tcW w:w="1800" w:type="dxa"/>
          </w:tcPr>
          <w:p>
            <w:pPr>
              <w:spacing w:before="120" w:after="120" w:line="276"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Pr>
                <w:rFonts w:cstheme="minorHAnsi"/>
                <w:color w:val="000000" w:themeColor="text1"/>
              </w:rPr>
              <w:t>%</w:t>
            </w:r>
          </w:p>
        </w:tc>
        <w:tc>
          <w:tcPr>
            <w:tcW w:w="2520" w:type="dxa"/>
            <w:vMerge/>
          </w:tcPr>
          <w:p>
            <w:pPr>
              <w:spacing w:before="120" w:after="120" w:line="276"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0" w:type="dxa"/>
          </w:tcPr>
          <w:p>
            <w:pPr>
              <w:spacing w:before="120" w:after="120" w:line="276" w:lineRule="auto"/>
              <w:rPr>
                <w:rFonts w:cstheme="minorHAnsi"/>
                <w:b w:val="0"/>
                <w:color w:val="000000" w:themeColor="text1"/>
              </w:rPr>
            </w:pPr>
            <w:r>
              <w:rPr>
                <w:rFonts w:cstheme="minorHAnsi"/>
                <w:b w:val="0"/>
                <w:color w:val="000000" w:themeColor="text1"/>
              </w:rPr>
              <w:t>Surface air temperature</w:t>
            </w:r>
          </w:p>
        </w:tc>
        <w:tc>
          <w:tcPr>
            <w:tcW w:w="1980" w:type="dxa"/>
          </w:tcPr>
          <w:p>
            <w:pPr>
              <w:spacing w:before="120" w:after="120" w:line="276" w:lineRule="auto"/>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proofErr w:type="spellStart"/>
            <w:r>
              <w:rPr>
                <w:rFonts w:cstheme="minorHAnsi"/>
                <w:color w:val="000000" w:themeColor="text1"/>
              </w:rPr>
              <w:t>T</w:t>
            </w:r>
            <w:r>
              <w:rPr>
                <w:rFonts w:cstheme="minorHAnsi"/>
                <w:color w:val="000000" w:themeColor="text1"/>
                <w:vertAlign w:val="subscript"/>
              </w:rPr>
              <w:t>air</w:t>
            </w:r>
            <w:proofErr w:type="spellEnd"/>
          </w:p>
        </w:tc>
        <w:tc>
          <w:tcPr>
            <w:tcW w:w="1800" w:type="dxa"/>
          </w:tcPr>
          <w:p>
            <w:pPr>
              <w:spacing w:before="120" w:after="120" w:line="276" w:lineRule="auto"/>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m:oMathPara>
              <m:oMath>
                <m:r>
                  <w:rPr>
                    <w:rFonts w:ascii="Cambria Math" w:hAnsi="Cambria Math" w:cstheme="minorHAnsi"/>
                    <w:color w:val="000000" w:themeColor="text1"/>
                  </w:rPr>
                  <m:t>℃</m:t>
                </m:r>
              </m:oMath>
            </m:oMathPara>
          </w:p>
        </w:tc>
        <w:tc>
          <w:tcPr>
            <w:tcW w:w="2520" w:type="dxa"/>
            <w:vMerge/>
          </w:tcPr>
          <w:p>
            <w:pPr>
              <w:spacing w:before="120" w:after="120" w:line="276" w:lineRule="auto"/>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p>
        </w:tc>
      </w:tr>
      <w:tr>
        <w:tc>
          <w:tcPr>
            <w:cnfStyle w:val="001000000000" w:firstRow="0" w:lastRow="0" w:firstColumn="1" w:lastColumn="0" w:oddVBand="0" w:evenVBand="0" w:oddHBand="0" w:evenHBand="0" w:firstRowFirstColumn="0" w:firstRowLastColumn="0" w:lastRowFirstColumn="0" w:lastRowLastColumn="0"/>
            <w:tcW w:w="2970" w:type="dxa"/>
          </w:tcPr>
          <w:p>
            <w:pPr>
              <w:spacing w:before="120" w:after="120" w:line="276" w:lineRule="auto"/>
              <w:rPr>
                <w:rFonts w:cstheme="minorHAnsi"/>
                <w:b w:val="0"/>
                <w:color w:val="000000" w:themeColor="text1"/>
              </w:rPr>
            </w:pPr>
            <w:r>
              <w:rPr>
                <w:rFonts w:cstheme="minorHAnsi"/>
                <w:b w:val="0"/>
                <w:color w:val="000000" w:themeColor="text1"/>
              </w:rPr>
              <w:t>10m wind velocity</w:t>
            </w:r>
          </w:p>
        </w:tc>
        <w:tc>
          <w:tcPr>
            <w:tcW w:w="1980" w:type="dxa"/>
          </w:tcPr>
          <w:p>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proofErr w:type="spellStart"/>
            <w:r>
              <w:rPr>
                <w:rFonts w:cstheme="minorHAnsi"/>
                <w:color w:val="000000" w:themeColor="text1"/>
              </w:rPr>
              <w:t>u</w:t>
            </w:r>
            <w:r>
              <w:rPr>
                <w:rFonts w:cstheme="minorHAnsi"/>
                <w:color w:val="000000" w:themeColor="text1"/>
                <w:vertAlign w:val="subscript"/>
              </w:rPr>
              <w:t>wind</w:t>
            </w:r>
            <w:proofErr w:type="spellEnd"/>
            <w:r>
              <w:rPr>
                <w:rFonts w:cstheme="minorHAnsi"/>
                <w:color w:val="000000" w:themeColor="text1"/>
              </w:rPr>
              <w:t xml:space="preserve"> /</w:t>
            </w:r>
            <w:proofErr w:type="spellStart"/>
            <w:r>
              <w:rPr>
                <w:rFonts w:cstheme="minorHAnsi"/>
                <w:color w:val="000000" w:themeColor="text1"/>
              </w:rPr>
              <w:t>v</w:t>
            </w:r>
            <w:r>
              <w:rPr>
                <w:rFonts w:cstheme="minorHAnsi"/>
                <w:color w:val="000000" w:themeColor="text1"/>
                <w:vertAlign w:val="subscript"/>
              </w:rPr>
              <w:t>wind</w:t>
            </w:r>
            <w:proofErr w:type="spellEnd"/>
          </w:p>
        </w:tc>
        <w:tc>
          <w:tcPr>
            <w:tcW w:w="1800" w:type="dxa"/>
          </w:tcPr>
          <w:p>
            <w:pPr>
              <w:spacing w:before="120" w:after="120" w:line="276"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Pr>
                <w:rFonts w:cstheme="minorHAnsi"/>
                <w:color w:val="000000" w:themeColor="text1"/>
              </w:rPr>
              <w:t>m s</w:t>
            </w:r>
            <w:r>
              <w:rPr>
                <w:rFonts w:cstheme="minorHAnsi"/>
                <w:color w:val="000000" w:themeColor="text1"/>
                <w:vertAlign w:val="superscript"/>
              </w:rPr>
              <w:t>-1</w:t>
            </w:r>
          </w:p>
        </w:tc>
        <w:tc>
          <w:tcPr>
            <w:tcW w:w="2520" w:type="dxa"/>
            <w:vMerge/>
          </w:tcPr>
          <w:p>
            <w:pPr>
              <w:spacing w:before="120" w:after="120" w:line="276"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0" w:type="dxa"/>
          </w:tcPr>
          <w:p>
            <w:pPr>
              <w:spacing w:before="120" w:after="120" w:line="276" w:lineRule="auto"/>
              <w:rPr>
                <w:rFonts w:cstheme="minorHAnsi"/>
                <w:b w:val="0"/>
                <w:color w:val="000000" w:themeColor="text1"/>
              </w:rPr>
            </w:pPr>
            <w:r>
              <w:rPr>
                <w:rFonts w:cstheme="minorHAnsi"/>
                <w:b w:val="0"/>
                <w:color w:val="000000" w:themeColor="text1"/>
              </w:rPr>
              <w:t>Rainfall rate</w:t>
            </w:r>
          </w:p>
        </w:tc>
        <w:tc>
          <w:tcPr>
            <w:tcW w:w="1980" w:type="dxa"/>
          </w:tcPr>
          <w:p>
            <w:pPr>
              <w:spacing w:before="120" w:after="120" w:line="276" w:lineRule="auto"/>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r>
              <w:rPr>
                <w:rFonts w:cstheme="minorHAnsi"/>
                <w:color w:val="000000" w:themeColor="text1"/>
              </w:rPr>
              <w:t>rain</w:t>
            </w:r>
          </w:p>
        </w:tc>
        <w:tc>
          <w:tcPr>
            <w:tcW w:w="1800" w:type="dxa"/>
          </w:tcPr>
          <w:p>
            <w:pPr>
              <w:spacing w:before="120" w:after="120" w:line="276" w:lineRule="auto"/>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r>
              <w:rPr>
                <w:rFonts w:cstheme="minorHAnsi"/>
                <w:color w:val="000000" w:themeColor="text1"/>
              </w:rPr>
              <w:t>kg (m</w:t>
            </w:r>
            <w:r>
              <w:rPr>
                <w:rFonts w:cstheme="minorHAnsi"/>
                <w:color w:val="000000" w:themeColor="text1"/>
                <w:vertAlign w:val="superscript"/>
              </w:rPr>
              <w:t>-2</w:t>
            </w:r>
            <w:r>
              <w:rPr>
                <w:rFonts w:cstheme="minorHAnsi"/>
                <w:color w:val="000000" w:themeColor="text1"/>
              </w:rPr>
              <w:t xml:space="preserve"> s</w:t>
            </w:r>
            <w:r>
              <w:rPr>
                <w:rFonts w:cstheme="minorHAnsi"/>
                <w:color w:val="000000" w:themeColor="text1"/>
                <w:vertAlign w:val="superscript"/>
              </w:rPr>
              <w:t>-1</w:t>
            </w:r>
            <w:r>
              <w:rPr>
                <w:rFonts w:cstheme="minorHAnsi"/>
                <w:color w:val="000000" w:themeColor="text1"/>
              </w:rPr>
              <w:t>)</w:t>
            </w:r>
          </w:p>
        </w:tc>
        <w:tc>
          <w:tcPr>
            <w:tcW w:w="2520" w:type="dxa"/>
            <w:vMerge/>
          </w:tcPr>
          <w:p>
            <w:pPr>
              <w:spacing w:before="120" w:after="120" w:line="276" w:lineRule="auto"/>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p>
        </w:tc>
      </w:tr>
      <w:tr>
        <w:tc>
          <w:tcPr>
            <w:cnfStyle w:val="001000000000" w:firstRow="0" w:lastRow="0" w:firstColumn="1" w:lastColumn="0" w:oddVBand="0" w:evenVBand="0" w:oddHBand="0" w:evenHBand="0" w:firstRowFirstColumn="0" w:firstRowLastColumn="0" w:lastRowFirstColumn="0" w:lastRowLastColumn="0"/>
            <w:tcW w:w="2970" w:type="dxa"/>
          </w:tcPr>
          <w:p>
            <w:pPr>
              <w:spacing w:before="120" w:after="120" w:line="276" w:lineRule="auto"/>
              <w:rPr>
                <w:rFonts w:cstheme="minorHAnsi"/>
                <w:b w:val="0"/>
                <w:color w:val="000000" w:themeColor="text1"/>
              </w:rPr>
            </w:pPr>
            <w:proofErr w:type="spellStart"/>
            <w:r>
              <w:rPr>
                <w:rFonts w:cstheme="minorHAnsi"/>
                <w:b w:val="0"/>
                <w:color w:val="000000" w:themeColor="text1"/>
              </w:rPr>
              <w:t>Downwelling</w:t>
            </w:r>
            <w:proofErr w:type="spellEnd"/>
            <w:r>
              <w:rPr>
                <w:rFonts w:cstheme="minorHAnsi"/>
                <w:b w:val="0"/>
                <w:color w:val="000000" w:themeColor="text1"/>
              </w:rPr>
              <w:t xml:space="preserve"> longwave radiation</w:t>
            </w:r>
          </w:p>
        </w:tc>
        <w:tc>
          <w:tcPr>
            <w:tcW w:w="1980" w:type="dxa"/>
          </w:tcPr>
          <w:p>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proofErr w:type="spellStart"/>
            <w:r>
              <w:rPr>
                <w:rFonts w:cstheme="minorHAnsi"/>
                <w:color w:val="000000" w:themeColor="text1"/>
              </w:rPr>
              <w:t>lwrad</w:t>
            </w:r>
            <w:proofErr w:type="spellEnd"/>
          </w:p>
        </w:tc>
        <w:tc>
          <w:tcPr>
            <w:tcW w:w="1800" w:type="dxa"/>
          </w:tcPr>
          <w:p>
            <w:pPr>
              <w:spacing w:before="120" w:after="120" w:line="276"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m:oMathPara>
              <m:oMath>
                <m:r>
                  <m:rPr>
                    <m:sty m:val="p"/>
                  </m:rPr>
                  <w:rPr>
                    <w:rFonts w:ascii="Cambria Math" w:hAnsi="Cambria Math" w:cstheme="minorHAnsi"/>
                    <w:color w:val="000000" w:themeColor="text1"/>
                  </w:rPr>
                  <m:t xml:space="preserve">W </m:t>
                </m:r>
                <m:sSup>
                  <m:sSupPr>
                    <m:ctrlPr>
                      <w:rPr>
                        <w:rFonts w:ascii="Cambria Math" w:hAnsi="Cambria Math" w:cstheme="minorHAnsi"/>
                        <w:color w:val="000000" w:themeColor="text1"/>
                      </w:rPr>
                    </m:ctrlPr>
                  </m:sSupPr>
                  <m:e>
                    <m:r>
                      <m:rPr>
                        <m:sty m:val="p"/>
                      </m:rPr>
                      <w:rPr>
                        <w:rFonts w:ascii="Cambria Math" w:hAnsi="Cambria Math" w:cstheme="minorHAnsi"/>
                        <w:color w:val="000000" w:themeColor="text1"/>
                      </w:rPr>
                      <m:t>m</m:t>
                    </m:r>
                  </m:e>
                  <m:sup>
                    <m:r>
                      <m:rPr>
                        <m:sty m:val="p"/>
                      </m:rPr>
                      <w:rPr>
                        <w:rFonts w:ascii="Cambria Math" w:hAnsi="Cambria Math" w:cstheme="minorHAnsi"/>
                        <w:color w:val="000000" w:themeColor="text1"/>
                      </w:rPr>
                      <m:t>-2</m:t>
                    </m:r>
                  </m:sup>
                </m:sSup>
              </m:oMath>
            </m:oMathPara>
          </w:p>
        </w:tc>
        <w:tc>
          <w:tcPr>
            <w:tcW w:w="2520" w:type="dxa"/>
            <w:vMerge/>
          </w:tcPr>
          <w:p>
            <w:pPr>
              <w:spacing w:before="120" w:after="120" w:line="276"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0" w:type="dxa"/>
          </w:tcPr>
          <w:p>
            <w:pPr>
              <w:spacing w:before="120" w:after="120" w:line="276" w:lineRule="auto"/>
              <w:rPr>
                <w:rFonts w:cstheme="minorHAnsi"/>
                <w:b w:val="0"/>
                <w:color w:val="000000" w:themeColor="text1"/>
              </w:rPr>
            </w:pPr>
            <w:proofErr w:type="spellStart"/>
            <w:r>
              <w:rPr>
                <w:rFonts w:cstheme="minorHAnsi"/>
                <w:b w:val="0"/>
                <w:color w:val="000000" w:themeColor="text1"/>
              </w:rPr>
              <w:t>Downwelling</w:t>
            </w:r>
            <w:proofErr w:type="spellEnd"/>
            <w:r>
              <w:rPr>
                <w:rFonts w:cstheme="minorHAnsi"/>
                <w:b w:val="0"/>
                <w:color w:val="000000" w:themeColor="text1"/>
              </w:rPr>
              <w:t xml:space="preserve"> shortwave radiation</w:t>
            </w:r>
          </w:p>
        </w:tc>
        <w:tc>
          <w:tcPr>
            <w:tcW w:w="1980" w:type="dxa"/>
          </w:tcPr>
          <w:p>
            <w:pPr>
              <w:spacing w:before="120" w:after="120" w:line="276" w:lineRule="auto"/>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proofErr w:type="spellStart"/>
            <w:r>
              <w:rPr>
                <w:rFonts w:cstheme="minorHAnsi"/>
                <w:color w:val="000000" w:themeColor="text1"/>
              </w:rPr>
              <w:t>swrad</w:t>
            </w:r>
            <w:proofErr w:type="spellEnd"/>
          </w:p>
        </w:tc>
        <w:tc>
          <w:tcPr>
            <w:tcW w:w="1800" w:type="dxa"/>
          </w:tcPr>
          <w:p>
            <w:pPr>
              <w:spacing w:before="120" w:after="120" w:line="276" w:lineRule="auto"/>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m:oMathPara>
              <m:oMath>
                <m:r>
                  <m:rPr>
                    <m:sty m:val="p"/>
                  </m:rPr>
                  <w:rPr>
                    <w:rFonts w:ascii="Cambria Math" w:hAnsi="Cambria Math" w:cstheme="minorHAnsi"/>
                    <w:color w:val="000000" w:themeColor="text1"/>
                  </w:rPr>
                  <m:t xml:space="preserve">W </m:t>
                </m:r>
                <m:sSup>
                  <m:sSupPr>
                    <m:ctrlPr>
                      <w:rPr>
                        <w:rFonts w:ascii="Cambria Math" w:hAnsi="Cambria Math" w:cstheme="minorHAnsi"/>
                        <w:color w:val="000000" w:themeColor="text1"/>
                      </w:rPr>
                    </m:ctrlPr>
                  </m:sSupPr>
                  <m:e>
                    <m:r>
                      <m:rPr>
                        <m:sty m:val="p"/>
                      </m:rPr>
                      <w:rPr>
                        <w:rFonts w:ascii="Cambria Math" w:hAnsi="Cambria Math" w:cstheme="minorHAnsi"/>
                        <w:color w:val="000000" w:themeColor="text1"/>
                      </w:rPr>
                      <m:t>m</m:t>
                    </m:r>
                  </m:e>
                  <m:sup>
                    <m:r>
                      <m:rPr>
                        <m:sty m:val="p"/>
                      </m:rPr>
                      <w:rPr>
                        <w:rFonts w:ascii="Cambria Math" w:hAnsi="Cambria Math" w:cstheme="minorHAnsi"/>
                        <w:color w:val="000000" w:themeColor="text1"/>
                      </w:rPr>
                      <m:t>-2</m:t>
                    </m:r>
                  </m:sup>
                </m:sSup>
              </m:oMath>
            </m:oMathPara>
          </w:p>
        </w:tc>
        <w:tc>
          <w:tcPr>
            <w:tcW w:w="2520" w:type="dxa"/>
            <w:vMerge/>
          </w:tcPr>
          <w:p>
            <w:pPr>
              <w:spacing w:before="120" w:after="120" w:line="276" w:lineRule="auto"/>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p>
        </w:tc>
      </w:tr>
      <w:tr>
        <w:tc>
          <w:tcPr>
            <w:cnfStyle w:val="001000000000" w:firstRow="0" w:lastRow="0" w:firstColumn="1" w:lastColumn="0" w:oddVBand="0" w:evenVBand="0" w:oddHBand="0" w:evenHBand="0" w:firstRowFirstColumn="0" w:firstRowLastColumn="0" w:lastRowFirstColumn="0" w:lastRowLastColumn="0"/>
            <w:tcW w:w="2970" w:type="dxa"/>
          </w:tcPr>
          <w:p>
            <w:pPr>
              <w:spacing w:before="120" w:after="120" w:line="276" w:lineRule="auto"/>
              <w:rPr>
                <w:rFonts w:cstheme="minorHAnsi"/>
                <w:b w:val="0"/>
                <w:color w:val="000000" w:themeColor="text1"/>
              </w:rPr>
            </w:pPr>
            <w:r>
              <w:rPr>
                <w:rFonts w:cstheme="minorHAnsi"/>
                <w:b w:val="0"/>
                <w:color w:val="000000" w:themeColor="text1"/>
              </w:rPr>
              <w:t>River runoff</w:t>
            </w:r>
          </w:p>
        </w:tc>
        <w:tc>
          <w:tcPr>
            <w:tcW w:w="1980" w:type="dxa"/>
          </w:tcPr>
          <w:p>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Pr>
                <w:rFonts w:cstheme="minorHAnsi"/>
                <w:color w:val="000000" w:themeColor="text1"/>
              </w:rPr>
              <w:t>River transport</w:t>
            </w:r>
          </w:p>
        </w:tc>
        <w:tc>
          <w:tcPr>
            <w:tcW w:w="1800" w:type="dxa"/>
          </w:tcPr>
          <w:p>
            <w:pPr>
              <w:spacing w:before="120" w:after="120" w:line="276"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Pr>
                <w:rFonts w:cstheme="minorHAnsi"/>
                <w:color w:val="000000" w:themeColor="text1"/>
              </w:rPr>
              <w:t>m</w:t>
            </w:r>
            <w:r>
              <w:rPr>
                <w:rFonts w:cstheme="minorHAnsi"/>
                <w:color w:val="000000" w:themeColor="text1"/>
                <w:vertAlign w:val="superscript"/>
              </w:rPr>
              <w:t>3</w:t>
            </w:r>
            <w:r>
              <w:rPr>
                <w:rFonts w:cstheme="minorHAnsi"/>
                <w:color w:val="000000" w:themeColor="text1"/>
              </w:rPr>
              <w:t xml:space="preserve"> s</w:t>
            </w:r>
            <w:r>
              <w:rPr>
                <w:rFonts w:cstheme="minorHAnsi"/>
                <w:color w:val="000000" w:themeColor="text1"/>
                <w:vertAlign w:val="superscript"/>
              </w:rPr>
              <w:noBreakHyphen/>
              <w:t>1</w:t>
            </w:r>
          </w:p>
        </w:tc>
        <w:tc>
          <w:tcPr>
            <w:tcW w:w="2520" w:type="dxa"/>
          </w:tcPr>
          <w:p>
            <w:pPr>
              <w:spacing w:before="120" w:after="120" w:line="276"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Pr>
                <w:rFonts w:cstheme="minorHAnsi"/>
                <w:color w:val="000000" w:themeColor="text1"/>
              </w:rPr>
              <w:t>GFDL-ESM2M</w:t>
            </w:r>
          </w:p>
        </w:tc>
      </w:tr>
    </w:tbl>
    <w:p>
      <w:pPr>
        <w:spacing w:before="120" w:after="120" w:line="360" w:lineRule="auto"/>
        <w:jc w:val="both"/>
        <w:rPr>
          <w:rFonts w:cstheme="minorHAnsi"/>
          <w:color w:val="000000" w:themeColor="text1"/>
        </w:rPr>
      </w:pPr>
    </w:p>
    <w:p>
      <w:pPr>
        <w:spacing w:before="120" w:after="120" w:line="360" w:lineRule="auto"/>
        <w:jc w:val="both"/>
        <w:rPr>
          <w:rFonts w:cstheme="minorHAnsi"/>
          <w:color w:val="000000" w:themeColor="text1"/>
        </w:rPr>
      </w:pPr>
    </w:p>
    <w:p>
      <w:pPr>
        <w:spacing w:before="120" w:after="120" w:line="360" w:lineRule="auto"/>
        <w:jc w:val="both"/>
        <w:rPr>
          <w:rFonts w:cstheme="minorHAnsi"/>
          <w:color w:val="000000" w:themeColor="text1"/>
        </w:rPr>
      </w:pPr>
    </w:p>
    <w:p>
      <w:pPr>
        <w:spacing w:before="120" w:after="120" w:line="360" w:lineRule="auto"/>
        <w:jc w:val="both"/>
        <w:rPr>
          <w:rFonts w:cstheme="minorHAnsi"/>
          <w:color w:val="000000" w:themeColor="text1"/>
        </w:rPr>
      </w:pPr>
    </w:p>
    <w:p>
      <w:pPr>
        <w:shd w:val="clear" w:color="auto" w:fill="FFFFFF"/>
        <w:spacing w:line="360" w:lineRule="auto"/>
        <w:rPr>
          <w:rFonts w:eastAsia="Times New Roman" w:cstheme="minorHAnsi"/>
          <w:color w:val="222222"/>
        </w:rPr>
      </w:pPr>
      <w:r>
        <w:rPr>
          <w:rFonts w:eastAsia="Times New Roman" w:cstheme="minorHAnsi"/>
          <w:color w:val="222222"/>
        </w:rPr>
        <w:t>GOM ROMS Boundary Conditions:</w:t>
      </w:r>
    </w:p>
    <w:tbl>
      <w:tblPr>
        <w:tblW w:w="0" w:type="auto"/>
        <w:tblCellMar>
          <w:left w:w="0" w:type="dxa"/>
          <w:right w:w="0" w:type="dxa"/>
        </w:tblCellMar>
        <w:tblLook w:val="04A0" w:firstRow="1" w:lastRow="0" w:firstColumn="1" w:lastColumn="0" w:noHBand="0" w:noVBand="1"/>
      </w:tblPr>
      <w:tblGrid>
        <w:gridCol w:w="4670"/>
        <w:gridCol w:w="4670"/>
      </w:tblGrid>
      <w:tr>
        <w:tc>
          <w:tcPr>
            <w:tcW w:w="467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pPr>
              <w:spacing w:line="360" w:lineRule="auto"/>
              <w:rPr>
                <w:rFonts w:eastAsia="Times New Roman" w:cstheme="minorHAnsi"/>
              </w:rPr>
            </w:pPr>
            <w:r>
              <w:rPr>
                <w:rFonts w:eastAsia="Times New Roman" w:cstheme="minorHAnsi"/>
                <w:b/>
                <w:bCs/>
              </w:rPr>
              <w:t>Variable</w:t>
            </w:r>
          </w:p>
        </w:tc>
        <w:tc>
          <w:tcPr>
            <w:tcW w:w="467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pPr>
              <w:spacing w:line="360" w:lineRule="auto"/>
              <w:rPr>
                <w:rFonts w:eastAsia="Times New Roman" w:cstheme="minorHAnsi"/>
              </w:rPr>
            </w:pPr>
            <w:r>
              <w:rPr>
                <w:rFonts w:eastAsia="Times New Roman" w:cstheme="minorHAnsi"/>
                <w:b/>
                <w:bCs/>
              </w:rPr>
              <w:t>Boundary  Type</w:t>
            </w:r>
          </w:p>
        </w:tc>
      </w:tr>
      <w:tr>
        <w:tc>
          <w:tcPr>
            <w:tcW w:w="46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pPr>
              <w:spacing w:line="360" w:lineRule="auto"/>
              <w:rPr>
                <w:rFonts w:eastAsia="Times New Roman" w:cstheme="minorHAnsi"/>
              </w:rPr>
            </w:pPr>
            <w:r>
              <w:rPr>
                <w:rFonts w:eastAsia="Times New Roman" w:cstheme="minorHAnsi"/>
              </w:rPr>
              <w:t>Free-surface (eta)</w:t>
            </w:r>
          </w:p>
        </w:tc>
        <w:tc>
          <w:tcPr>
            <w:tcW w:w="4675" w:type="dxa"/>
            <w:tcBorders>
              <w:top w:val="nil"/>
              <w:left w:val="nil"/>
              <w:bottom w:val="single" w:sz="8" w:space="0" w:color="auto"/>
              <w:right w:val="single" w:sz="8" w:space="0" w:color="auto"/>
            </w:tcBorders>
            <w:tcMar>
              <w:top w:w="0" w:type="dxa"/>
              <w:left w:w="108" w:type="dxa"/>
              <w:bottom w:w="0" w:type="dxa"/>
              <w:right w:w="108" w:type="dxa"/>
            </w:tcMar>
            <w:hideMark/>
          </w:tcPr>
          <w:p>
            <w:pPr>
              <w:spacing w:line="360" w:lineRule="auto"/>
              <w:rPr>
                <w:rFonts w:eastAsia="Times New Roman" w:cstheme="minorHAnsi"/>
              </w:rPr>
            </w:pPr>
            <w:r>
              <w:rPr>
                <w:rFonts w:eastAsia="Times New Roman" w:cstheme="minorHAnsi"/>
              </w:rPr>
              <w:t>Chapman implicit</w:t>
            </w:r>
          </w:p>
        </w:tc>
      </w:tr>
      <w:tr>
        <w:tc>
          <w:tcPr>
            <w:tcW w:w="46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pPr>
              <w:spacing w:line="360" w:lineRule="auto"/>
              <w:rPr>
                <w:rFonts w:eastAsia="Times New Roman" w:cstheme="minorHAnsi"/>
              </w:rPr>
            </w:pPr>
            <w:r>
              <w:rPr>
                <w:rFonts w:eastAsia="Times New Roman" w:cstheme="minorHAnsi"/>
              </w:rPr>
              <w:t>2-D (depth-averaged) velocity (u/v)</w:t>
            </w:r>
          </w:p>
        </w:tc>
        <w:tc>
          <w:tcPr>
            <w:tcW w:w="4675" w:type="dxa"/>
            <w:tcBorders>
              <w:top w:val="nil"/>
              <w:left w:val="nil"/>
              <w:bottom w:val="single" w:sz="8" w:space="0" w:color="auto"/>
              <w:right w:val="single" w:sz="8" w:space="0" w:color="auto"/>
            </w:tcBorders>
            <w:tcMar>
              <w:top w:w="0" w:type="dxa"/>
              <w:left w:w="108" w:type="dxa"/>
              <w:bottom w:w="0" w:type="dxa"/>
              <w:right w:w="108" w:type="dxa"/>
            </w:tcMar>
            <w:hideMark/>
          </w:tcPr>
          <w:p>
            <w:pPr>
              <w:spacing w:line="360" w:lineRule="auto"/>
              <w:rPr>
                <w:rFonts w:eastAsia="Times New Roman" w:cstheme="minorHAnsi"/>
              </w:rPr>
            </w:pPr>
            <w:proofErr w:type="spellStart"/>
            <w:r>
              <w:rPr>
                <w:rFonts w:eastAsia="Times New Roman" w:cstheme="minorHAnsi"/>
              </w:rPr>
              <w:t>Flather</w:t>
            </w:r>
            <w:proofErr w:type="spellEnd"/>
          </w:p>
        </w:tc>
      </w:tr>
      <w:tr>
        <w:tc>
          <w:tcPr>
            <w:tcW w:w="46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pPr>
              <w:spacing w:line="360" w:lineRule="auto"/>
              <w:rPr>
                <w:rFonts w:eastAsia="Times New Roman" w:cstheme="minorHAnsi"/>
              </w:rPr>
            </w:pPr>
            <w:r>
              <w:rPr>
                <w:rFonts w:eastAsia="Times New Roman" w:cstheme="minorHAnsi"/>
              </w:rPr>
              <w:t>3-D velocity (u/v)</w:t>
            </w:r>
          </w:p>
        </w:tc>
        <w:tc>
          <w:tcPr>
            <w:tcW w:w="4675" w:type="dxa"/>
            <w:tcBorders>
              <w:top w:val="nil"/>
              <w:left w:val="nil"/>
              <w:bottom w:val="single" w:sz="8" w:space="0" w:color="auto"/>
              <w:right w:val="single" w:sz="8" w:space="0" w:color="auto"/>
            </w:tcBorders>
            <w:tcMar>
              <w:top w:w="0" w:type="dxa"/>
              <w:left w:w="108" w:type="dxa"/>
              <w:bottom w:w="0" w:type="dxa"/>
              <w:right w:w="108" w:type="dxa"/>
            </w:tcMar>
            <w:hideMark/>
          </w:tcPr>
          <w:p>
            <w:pPr>
              <w:spacing w:line="360" w:lineRule="auto"/>
              <w:rPr>
                <w:rFonts w:eastAsia="Times New Roman" w:cstheme="minorHAnsi"/>
              </w:rPr>
            </w:pPr>
            <w:r>
              <w:rPr>
                <w:rFonts w:eastAsia="Times New Roman" w:cstheme="minorHAnsi"/>
              </w:rPr>
              <w:t>Radiation</w:t>
            </w:r>
          </w:p>
        </w:tc>
      </w:tr>
      <w:tr>
        <w:tc>
          <w:tcPr>
            <w:tcW w:w="46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pPr>
              <w:spacing w:line="360" w:lineRule="auto"/>
              <w:rPr>
                <w:rFonts w:eastAsia="Times New Roman" w:cstheme="minorHAnsi"/>
              </w:rPr>
            </w:pPr>
            <w:r>
              <w:rPr>
                <w:rFonts w:eastAsia="Times New Roman" w:cstheme="minorHAnsi"/>
              </w:rPr>
              <w:t>Temperature/Salinity</w:t>
            </w:r>
          </w:p>
        </w:tc>
        <w:tc>
          <w:tcPr>
            <w:tcW w:w="4675" w:type="dxa"/>
            <w:tcBorders>
              <w:top w:val="nil"/>
              <w:left w:val="nil"/>
              <w:bottom w:val="single" w:sz="8" w:space="0" w:color="auto"/>
              <w:right w:val="single" w:sz="8" w:space="0" w:color="auto"/>
            </w:tcBorders>
            <w:tcMar>
              <w:top w:w="0" w:type="dxa"/>
              <w:left w:w="108" w:type="dxa"/>
              <w:bottom w:w="0" w:type="dxa"/>
              <w:right w:w="108" w:type="dxa"/>
            </w:tcMar>
            <w:hideMark/>
          </w:tcPr>
          <w:p>
            <w:pPr>
              <w:spacing w:line="360" w:lineRule="auto"/>
              <w:rPr>
                <w:rFonts w:eastAsia="Times New Roman" w:cstheme="minorHAnsi"/>
              </w:rPr>
            </w:pPr>
            <w:r>
              <w:rPr>
                <w:rFonts w:eastAsia="Times New Roman" w:cstheme="minorHAnsi"/>
              </w:rPr>
              <w:t>Radiation-Nudging</w:t>
            </w:r>
          </w:p>
        </w:tc>
      </w:tr>
    </w:tbl>
    <w:p>
      <w:pPr>
        <w:shd w:val="clear" w:color="auto" w:fill="FFFFFF"/>
        <w:spacing w:line="360" w:lineRule="auto"/>
        <w:rPr>
          <w:rFonts w:eastAsia="Times New Roman" w:cstheme="minorHAnsi"/>
          <w:color w:val="222222"/>
        </w:rPr>
      </w:pPr>
    </w:p>
    <w:p>
      <w:pPr>
        <w:shd w:val="clear" w:color="auto" w:fill="FFFFFF"/>
        <w:spacing w:line="360" w:lineRule="auto"/>
        <w:rPr>
          <w:rFonts w:eastAsia="Times New Roman" w:cstheme="minorHAnsi"/>
          <w:color w:val="222222"/>
        </w:rPr>
      </w:pPr>
      <w:r>
        <w:rPr>
          <w:rFonts w:eastAsia="Times New Roman" w:cstheme="minorHAnsi"/>
          <w:color w:val="222222"/>
        </w:rPr>
        <w:t>More details about how the Delta Method was implemented:</w:t>
      </w:r>
    </w:p>
    <w:p>
      <w:pPr>
        <w:shd w:val="clear" w:color="auto" w:fill="FFFFFF"/>
        <w:spacing w:line="360" w:lineRule="auto"/>
        <w:rPr>
          <w:rFonts w:eastAsia="Times New Roman" w:cstheme="minorHAnsi"/>
          <w:color w:val="222222"/>
        </w:rPr>
      </w:pPr>
      <w:r>
        <w:rPr>
          <w:rFonts w:eastAsia="Times New Roman" w:cstheme="minorHAnsi"/>
          <w:color w:val="222222"/>
        </w:rPr>
        <w:t>1. Monthly Deltas were calculated from the variables on the NWA ROMS grid. </w:t>
      </w:r>
    </w:p>
    <w:p>
      <w:pPr>
        <w:shd w:val="clear" w:color="auto" w:fill="FFFFFF"/>
        <w:spacing w:line="360" w:lineRule="auto"/>
        <w:rPr>
          <w:rFonts w:eastAsia="Times New Roman" w:cstheme="minorHAnsi"/>
          <w:color w:val="222222"/>
        </w:rPr>
      </w:pPr>
      <w:r>
        <w:rPr>
          <w:rFonts w:eastAsia="Times New Roman" w:cstheme="minorHAnsi"/>
          <w:color w:val="222222"/>
        </w:rPr>
        <w:t xml:space="preserve">2. The result from step 1 was interpolated from the NWA ROMS grid to the GOM ROMS grid with the Rutgers toolbox function, roms2roms.m (This uses the </w:t>
      </w:r>
      <w:proofErr w:type="spellStart"/>
      <w:r>
        <w:rPr>
          <w:rFonts w:eastAsia="Times New Roman" w:cstheme="minorHAnsi"/>
          <w:color w:val="222222"/>
        </w:rPr>
        <w:t>Matlab</w:t>
      </w:r>
      <w:proofErr w:type="spellEnd"/>
      <w:r>
        <w:rPr>
          <w:rFonts w:eastAsia="Times New Roman" w:cstheme="minorHAnsi"/>
          <w:color w:val="222222"/>
        </w:rPr>
        <w:t xml:space="preserve"> function </w:t>
      </w:r>
      <w:proofErr w:type="spellStart"/>
      <w:r>
        <w:rPr>
          <w:rFonts w:eastAsia="Times New Roman" w:cstheme="minorHAnsi"/>
          <w:color w:val="222222"/>
        </w:rPr>
        <w:t>TriScatteredInterp</w:t>
      </w:r>
      <w:proofErr w:type="spellEnd"/>
      <w:r>
        <w:rPr>
          <w:rFonts w:eastAsia="Times New Roman" w:cstheme="minorHAnsi"/>
          <w:color w:val="222222"/>
        </w:rPr>
        <w:t>, which in turn uses a </w:t>
      </w:r>
      <w:r>
        <w:rPr>
          <w:rFonts w:eastAsia="Times New Roman" w:cstheme="minorHAnsi"/>
          <w:color w:val="404040"/>
        </w:rPr>
        <w:t>Delaunay triangulation of the variable to generate a function that goes through the input points and can be queried at any 3-D point.)</w:t>
      </w:r>
    </w:p>
    <w:p>
      <w:pPr>
        <w:shd w:val="clear" w:color="auto" w:fill="FFFFFF"/>
        <w:spacing w:line="360" w:lineRule="auto"/>
        <w:rPr>
          <w:rFonts w:eastAsia="Times New Roman" w:cstheme="minorHAnsi"/>
          <w:color w:val="222222"/>
        </w:rPr>
      </w:pPr>
      <w:r>
        <w:rPr>
          <w:rFonts w:eastAsia="Times New Roman" w:cstheme="minorHAnsi"/>
          <w:color w:val="404040"/>
        </w:rPr>
        <w:t>3. The interpolated Delta value was extracted at the correct indices for each boundary. Depth-integrated velocities were calculated at all grid cells and then extracted at the boundaries.</w:t>
      </w:r>
    </w:p>
    <w:p>
      <w:pPr>
        <w:shd w:val="clear" w:color="auto" w:fill="FFFFFF"/>
        <w:spacing w:line="360" w:lineRule="auto"/>
        <w:rPr>
          <w:rFonts w:eastAsia="Times New Roman" w:cstheme="minorHAnsi"/>
          <w:color w:val="222222"/>
        </w:rPr>
      </w:pPr>
      <w:r>
        <w:rPr>
          <w:rFonts w:eastAsia="Times New Roman" w:cstheme="minorHAnsi"/>
          <w:color w:val="404040"/>
        </w:rPr>
        <w:t xml:space="preserve">4. The result of #3 was added to the </w:t>
      </w:r>
      <w:proofErr w:type="spellStart"/>
      <w:r>
        <w:rPr>
          <w:rFonts w:eastAsia="Times New Roman" w:cstheme="minorHAnsi"/>
          <w:color w:val="404040"/>
        </w:rPr>
        <w:t>hindcast</w:t>
      </w:r>
      <w:proofErr w:type="spellEnd"/>
      <w:r>
        <w:rPr>
          <w:rFonts w:eastAsia="Times New Roman" w:cstheme="minorHAnsi"/>
          <w:color w:val="404040"/>
        </w:rPr>
        <w:t xml:space="preserve"> boundary conditions.</w:t>
      </w:r>
    </w:p>
    <w:p>
      <w:pPr>
        <w:shd w:val="clear" w:color="auto" w:fill="FFFFFF"/>
        <w:spacing w:line="360" w:lineRule="auto"/>
        <w:rPr>
          <w:rFonts w:eastAsia="Times New Roman" w:cstheme="minorHAnsi"/>
          <w:color w:val="222222"/>
        </w:rPr>
      </w:pPr>
      <w:r>
        <w:rPr>
          <w:rFonts w:eastAsia="Times New Roman" w:cstheme="minorHAnsi"/>
          <w:color w:val="404040"/>
        </w:rPr>
        <w:t xml:space="preserve">5. The model was re-run with the same setup as the </w:t>
      </w:r>
      <w:proofErr w:type="spellStart"/>
      <w:r>
        <w:rPr>
          <w:rFonts w:eastAsia="Times New Roman" w:cstheme="minorHAnsi"/>
          <w:color w:val="404040"/>
        </w:rPr>
        <w:t>hindcast</w:t>
      </w:r>
      <w:proofErr w:type="spellEnd"/>
      <w:r>
        <w:rPr>
          <w:rFonts w:eastAsia="Times New Roman" w:cstheme="minorHAnsi"/>
          <w:color w:val="404040"/>
        </w:rPr>
        <w:t xml:space="preserve"> but with the new initial and boundary conditions.</w:t>
      </w:r>
    </w:p>
    <w:p/>
    <w:p>
      <w:pPr>
        <w:pStyle w:val="Heading2"/>
      </w:pPr>
      <w:r>
        <w:lastRenderedPageBreak/>
        <w:t xml:space="preserve">Results </w:t>
      </w:r>
    </w:p>
    <w:p>
      <w:pPr>
        <w:keepNext/>
        <w:spacing w:after="120" w:line="360" w:lineRule="auto"/>
        <w:jc w:val="both"/>
        <w:rPr>
          <w:rFonts w:cstheme="minorHAnsi"/>
          <w:color w:val="000000" w:themeColor="text1"/>
        </w:rPr>
      </w:pPr>
      <w:r>
        <w:rPr>
          <w:rFonts w:cstheme="minorHAnsi"/>
          <w:color w:val="000000" w:themeColor="text1"/>
        </w:rPr>
        <w:t xml:space="preserve">In the projection the inflow ratio increased by 0.1 on average, or 20% of the </w:t>
      </w:r>
      <w:proofErr w:type="spellStart"/>
      <w:r>
        <w:rPr>
          <w:rFonts w:cstheme="minorHAnsi"/>
          <w:color w:val="000000" w:themeColor="text1"/>
        </w:rPr>
        <w:t>hindcast</w:t>
      </w:r>
      <w:proofErr w:type="spellEnd"/>
      <w:r>
        <w:rPr>
          <w:rFonts w:cstheme="minorHAnsi"/>
          <w:color w:val="000000" w:themeColor="text1"/>
        </w:rPr>
        <w:t xml:space="preserve"> ratio.</w:t>
      </w:r>
    </w:p>
    <w:p>
      <w:pPr>
        <w:keepNext/>
        <w:spacing w:after="120" w:line="360" w:lineRule="auto"/>
        <w:jc w:val="both"/>
        <w:rPr>
          <w:rFonts w:cstheme="minorHAnsi"/>
          <w:color w:val="000000" w:themeColor="text1"/>
        </w:rPr>
      </w:pPr>
      <w:r>
        <w:rPr>
          <w:rFonts w:cstheme="minorHAnsi"/>
          <w:noProof/>
          <w:color w:val="000000" w:themeColor="text1"/>
          <w:lang w:eastAsia="en-IN"/>
        </w:rPr>
        <w:drawing>
          <wp:inline distT="0" distB="0" distL="0" distR="0">
            <wp:extent cx="4696540" cy="3868063"/>
            <wp:effectExtent l="0" t="0" r="254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5">
                      <a:extLst>
                        <a:ext uri="{28A0092B-C50C-407E-A947-70E740481C1C}">
                          <a14:useLocalDpi xmlns:a14="http://schemas.microsoft.com/office/drawing/2010/main" val="0"/>
                        </a:ext>
                      </a:extLst>
                    </a:blip>
                    <a:srcRect l="4468" r="4468"/>
                    <a:stretch>
                      <a:fillRect/>
                    </a:stretch>
                  </pic:blipFill>
                  <pic:spPr bwMode="auto">
                    <a:xfrm>
                      <a:off x="0" y="0"/>
                      <a:ext cx="4696540" cy="3868063"/>
                    </a:xfrm>
                    <a:prstGeom prst="rect">
                      <a:avLst/>
                    </a:prstGeom>
                    <a:ln>
                      <a:noFill/>
                    </a:ln>
                    <a:extLst>
                      <a:ext uri="{53640926-AAD7-44D8-BBD7-CCE9431645EC}">
                        <a14:shadowObscured xmlns:a14="http://schemas.microsoft.com/office/drawing/2010/main"/>
                      </a:ext>
                    </a:extLst>
                  </pic:spPr>
                </pic:pic>
              </a:graphicData>
            </a:graphic>
          </wp:inline>
        </w:drawing>
      </w:r>
    </w:p>
    <w:p>
      <w:pPr>
        <w:pStyle w:val="Caption"/>
        <w:spacing w:after="120" w:line="276" w:lineRule="auto"/>
        <w:jc w:val="both"/>
        <w:rPr>
          <w:rFonts w:cstheme="minorHAnsi"/>
          <w:color w:val="000000" w:themeColor="text1"/>
          <w:sz w:val="20"/>
          <w:szCs w:val="20"/>
        </w:rPr>
      </w:pPr>
      <w:bookmarkStart w:id="2" w:name="_Ref63434585"/>
      <w:r>
        <w:rPr>
          <w:rFonts w:cstheme="minorHAnsi"/>
          <w:color w:val="000000" w:themeColor="text1"/>
          <w:sz w:val="20"/>
          <w:szCs w:val="20"/>
        </w:rPr>
        <w:t>Figure S-</w:t>
      </w:r>
      <w:r>
        <w:rPr>
          <w:rFonts w:cstheme="minorHAnsi"/>
          <w:color w:val="000000" w:themeColor="text1"/>
          <w:sz w:val="20"/>
          <w:szCs w:val="20"/>
        </w:rPr>
        <w:fldChar w:fldCharType="begin"/>
      </w:r>
      <w:r>
        <w:rPr>
          <w:rFonts w:cstheme="minorHAnsi"/>
          <w:color w:val="000000" w:themeColor="text1"/>
          <w:sz w:val="20"/>
          <w:szCs w:val="20"/>
        </w:rPr>
        <w:instrText xml:space="preserve"> SEQ Figure \* ARABIC \r 1</w:instrText>
      </w:r>
      <w:r>
        <w:rPr>
          <w:rFonts w:cstheme="minorHAnsi"/>
          <w:color w:val="000000" w:themeColor="text1"/>
          <w:sz w:val="20"/>
          <w:szCs w:val="20"/>
        </w:rPr>
        <w:fldChar w:fldCharType="separate"/>
      </w:r>
      <w:r>
        <w:rPr>
          <w:rFonts w:cstheme="minorHAnsi"/>
          <w:noProof/>
          <w:color w:val="000000" w:themeColor="text1"/>
          <w:sz w:val="20"/>
          <w:szCs w:val="20"/>
        </w:rPr>
        <w:t>1</w:t>
      </w:r>
      <w:r>
        <w:rPr>
          <w:rFonts w:cstheme="minorHAnsi"/>
          <w:color w:val="000000" w:themeColor="text1"/>
          <w:sz w:val="20"/>
          <w:szCs w:val="20"/>
        </w:rPr>
        <w:fldChar w:fldCharType="end"/>
      </w:r>
      <w:bookmarkEnd w:id="2"/>
      <w:r>
        <w:rPr>
          <w:rFonts w:cstheme="minorHAnsi"/>
          <w:color w:val="000000" w:themeColor="text1"/>
          <w:sz w:val="20"/>
          <w:szCs w:val="20"/>
        </w:rPr>
        <w:t xml:space="preserve"> – Change in GOM inflow ratio vs. day of the year. The differences between individual projections and </w:t>
      </w:r>
      <w:proofErr w:type="spellStart"/>
      <w:r>
        <w:rPr>
          <w:rFonts w:cstheme="minorHAnsi"/>
          <w:color w:val="000000" w:themeColor="text1"/>
          <w:sz w:val="20"/>
          <w:szCs w:val="20"/>
        </w:rPr>
        <w:t>hindcasts</w:t>
      </w:r>
      <w:proofErr w:type="spellEnd"/>
      <w:r>
        <w:rPr>
          <w:rFonts w:cstheme="minorHAnsi"/>
          <w:color w:val="000000" w:themeColor="text1"/>
          <w:sz w:val="20"/>
          <w:szCs w:val="20"/>
        </w:rPr>
        <w:t xml:space="preserve"> for each year are plotted in grey. The difference between the projected composite year and the </w:t>
      </w:r>
      <w:proofErr w:type="spellStart"/>
      <w:r>
        <w:rPr>
          <w:rFonts w:cstheme="minorHAnsi"/>
          <w:color w:val="000000" w:themeColor="text1"/>
          <w:sz w:val="20"/>
          <w:szCs w:val="20"/>
        </w:rPr>
        <w:t>hindcast</w:t>
      </w:r>
      <w:proofErr w:type="spellEnd"/>
      <w:r>
        <w:rPr>
          <w:rFonts w:cstheme="minorHAnsi"/>
          <w:color w:val="000000" w:themeColor="text1"/>
          <w:sz w:val="20"/>
          <w:szCs w:val="20"/>
        </w:rPr>
        <w:t xml:space="preserve"> composite year is plotted in red. Data were smoothed over a weekly time scale before plotting.</w:t>
      </w:r>
      <w:r>
        <w:rPr>
          <w:rFonts w:cstheme="minorHAnsi"/>
          <w:color w:val="000000" w:themeColor="text1"/>
          <w:sz w:val="20"/>
          <w:szCs w:val="20"/>
        </w:rPr>
        <w:br w:type="page"/>
      </w:r>
    </w:p>
    <w:p>
      <w:pPr>
        <w:keepNext/>
        <w:rPr>
          <w:rFonts w:cstheme="minorHAnsi"/>
          <w:color w:val="000000" w:themeColor="text1"/>
        </w:rPr>
      </w:pPr>
      <w:r>
        <w:rPr>
          <w:rFonts w:cstheme="minorHAnsi"/>
          <w:color w:val="000000" w:themeColor="text1"/>
        </w:rPr>
        <w:lastRenderedPageBreak/>
        <w:t>Both models projected an increase in the GOM inflow ratio.</w:t>
      </w:r>
    </w:p>
    <w:p>
      <w:pPr>
        <w:keepNext/>
        <w:rPr>
          <w:rFonts w:cstheme="minorHAnsi"/>
          <w:color w:val="000000" w:themeColor="text1"/>
        </w:rPr>
      </w:pPr>
      <w:r>
        <w:rPr>
          <w:rFonts w:cstheme="minorHAnsi"/>
          <w:noProof/>
          <w:color w:val="000000" w:themeColor="text1"/>
          <w:lang w:eastAsia="en-IN"/>
        </w:rPr>
        <w:drawing>
          <wp:inline distT="0" distB="0" distL="0" distR="0">
            <wp:extent cx="5826868" cy="4370151"/>
            <wp:effectExtent l="0" t="0" r="254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830166" cy="4372625"/>
                    </a:xfrm>
                    <a:prstGeom prst="rect">
                      <a:avLst/>
                    </a:prstGeom>
                  </pic:spPr>
                </pic:pic>
              </a:graphicData>
            </a:graphic>
          </wp:inline>
        </w:drawing>
      </w:r>
    </w:p>
    <w:p>
      <w:pPr>
        <w:pStyle w:val="Caption"/>
        <w:rPr>
          <w:rFonts w:cstheme="minorHAnsi"/>
          <w:color w:val="000000" w:themeColor="text1"/>
          <w:sz w:val="20"/>
          <w:szCs w:val="20"/>
        </w:rPr>
      </w:pPr>
      <w:bookmarkStart w:id="3" w:name="_Ref67552902"/>
      <w:r>
        <w:rPr>
          <w:color w:val="000000" w:themeColor="text1"/>
          <w:sz w:val="20"/>
          <w:szCs w:val="20"/>
        </w:rPr>
        <w:t>Figure S-</w:t>
      </w:r>
      <w:r>
        <w:rPr>
          <w:color w:val="000000" w:themeColor="text1"/>
          <w:sz w:val="20"/>
          <w:szCs w:val="20"/>
        </w:rPr>
        <w:fldChar w:fldCharType="begin"/>
      </w:r>
      <w:r>
        <w:rPr>
          <w:color w:val="000000" w:themeColor="text1"/>
          <w:sz w:val="20"/>
          <w:szCs w:val="20"/>
        </w:rPr>
        <w:instrText xml:space="preserve"> SEQ Figure \* ARABIC</w:instrText>
      </w:r>
      <w:r>
        <w:rPr>
          <w:color w:val="000000" w:themeColor="text1"/>
          <w:sz w:val="20"/>
          <w:szCs w:val="20"/>
        </w:rPr>
        <w:fldChar w:fldCharType="separate"/>
      </w:r>
      <w:r>
        <w:rPr>
          <w:noProof/>
          <w:color w:val="000000" w:themeColor="text1"/>
          <w:sz w:val="20"/>
          <w:szCs w:val="20"/>
        </w:rPr>
        <w:t>2</w:t>
      </w:r>
      <w:r>
        <w:rPr>
          <w:color w:val="000000" w:themeColor="text1"/>
          <w:sz w:val="20"/>
          <w:szCs w:val="20"/>
        </w:rPr>
        <w:fldChar w:fldCharType="end"/>
      </w:r>
      <w:bookmarkEnd w:id="3"/>
      <w:r>
        <w:rPr>
          <w:rFonts w:cstheme="minorHAnsi"/>
          <w:color w:val="000000" w:themeColor="text1"/>
          <w:sz w:val="20"/>
          <w:szCs w:val="20"/>
        </w:rPr>
        <w:t xml:space="preserve"> - Change in the GOM inflow ratio vs. day of the year as calculated from NWA ROMS output. The differences between individual projections and </w:t>
      </w:r>
      <w:proofErr w:type="spellStart"/>
      <w:r>
        <w:rPr>
          <w:rFonts w:cstheme="minorHAnsi"/>
          <w:color w:val="000000" w:themeColor="text1"/>
          <w:sz w:val="20"/>
          <w:szCs w:val="20"/>
        </w:rPr>
        <w:t>hindcasts</w:t>
      </w:r>
      <w:proofErr w:type="spellEnd"/>
      <w:r>
        <w:rPr>
          <w:rFonts w:cstheme="minorHAnsi"/>
          <w:color w:val="000000" w:themeColor="text1"/>
          <w:sz w:val="20"/>
          <w:szCs w:val="20"/>
        </w:rPr>
        <w:t xml:space="preserve"> for each year are plotted in grey. The difference between the projected composite year and the </w:t>
      </w:r>
      <w:proofErr w:type="spellStart"/>
      <w:r>
        <w:rPr>
          <w:rFonts w:cstheme="minorHAnsi"/>
          <w:color w:val="000000" w:themeColor="text1"/>
          <w:sz w:val="20"/>
          <w:szCs w:val="20"/>
        </w:rPr>
        <w:t>hindcast</w:t>
      </w:r>
      <w:proofErr w:type="spellEnd"/>
      <w:r>
        <w:rPr>
          <w:rFonts w:cstheme="minorHAnsi"/>
          <w:color w:val="000000" w:themeColor="text1"/>
          <w:sz w:val="20"/>
          <w:szCs w:val="20"/>
        </w:rPr>
        <w:t xml:space="preserve"> composite year is plotted in red. The ratio was calculated and plotted at the 3-day output resolution of the NWA ROMS.</w:t>
      </w:r>
    </w:p>
    <w:p>
      <w:pPr>
        <w:pStyle w:val="Caption"/>
        <w:keepNext/>
      </w:pPr>
      <w:r>
        <w:lastRenderedPageBreak/>
        <w:br/>
      </w:r>
      <w:r>
        <w:rPr>
          <w:noProof/>
          <w:lang w:val="en-IN" w:eastAsia="en-IN"/>
        </w:rPr>
        <w:drawing>
          <wp:inline distT="0" distB="0" distL="0" distR="0">
            <wp:extent cx="5943600" cy="449199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4491990"/>
                    </a:xfrm>
                    <a:prstGeom prst="rect">
                      <a:avLst/>
                    </a:prstGeom>
                  </pic:spPr>
                </pic:pic>
              </a:graphicData>
            </a:graphic>
          </wp:inline>
        </w:drawing>
      </w:r>
    </w:p>
    <w:p>
      <w:pPr>
        <w:pStyle w:val="Caption"/>
        <w:rPr>
          <w:rFonts w:cstheme="minorHAnsi"/>
          <w:color w:val="000000" w:themeColor="text1"/>
          <w:sz w:val="20"/>
          <w:szCs w:val="20"/>
        </w:rPr>
      </w:pPr>
      <w:bookmarkStart w:id="4" w:name="_Ref96355093"/>
      <w:r>
        <w:rPr>
          <w:color w:val="000000" w:themeColor="text1"/>
          <w:sz w:val="20"/>
          <w:szCs w:val="20"/>
        </w:rPr>
        <w:t>Figure S-</w:t>
      </w:r>
      <w:r>
        <w:rPr>
          <w:color w:val="000000" w:themeColor="text1"/>
          <w:sz w:val="20"/>
          <w:szCs w:val="20"/>
        </w:rPr>
        <w:fldChar w:fldCharType="begin"/>
      </w:r>
      <w:r>
        <w:rPr>
          <w:color w:val="000000" w:themeColor="text1"/>
          <w:sz w:val="20"/>
          <w:szCs w:val="20"/>
        </w:rPr>
        <w:instrText xml:space="preserve"> SEQ Figure \* ARABIC </w:instrText>
      </w:r>
      <w:r>
        <w:rPr>
          <w:color w:val="000000" w:themeColor="text1"/>
          <w:sz w:val="20"/>
          <w:szCs w:val="20"/>
        </w:rPr>
        <w:fldChar w:fldCharType="separate"/>
      </w:r>
      <w:r>
        <w:rPr>
          <w:noProof/>
          <w:color w:val="000000" w:themeColor="text1"/>
          <w:sz w:val="20"/>
          <w:szCs w:val="20"/>
        </w:rPr>
        <w:t>3</w:t>
      </w:r>
      <w:r>
        <w:rPr>
          <w:color w:val="000000" w:themeColor="text1"/>
          <w:sz w:val="20"/>
          <w:szCs w:val="20"/>
        </w:rPr>
        <w:fldChar w:fldCharType="end"/>
      </w:r>
      <w:bookmarkEnd w:id="4"/>
      <w:r>
        <w:rPr>
          <w:color w:val="000000" w:themeColor="text1"/>
          <w:sz w:val="20"/>
          <w:szCs w:val="20"/>
        </w:rPr>
        <w:t xml:space="preserve"> </w:t>
      </w:r>
      <w:r>
        <w:rPr>
          <w:rFonts w:cstheme="minorHAnsi"/>
          <w:color w:val="000000" w:themeColor="text1"/>
          <w:sz w:val="20"/>
          <w:szCs w:val="20"/>
        </w:rPr>
        <w:t xml:space="preserve">– Change in </w:t>
      </w:r>
      <w:r>
        <w:rPr>
          <w:rFonts w:cstheme="minorHAnsi"/>
          <w:i w:val="0"/>
          <w:iCs w:val="0"/>
          <w:color w:val="000000" w:themeColor="text1"/>
          <w:sz w:val="20"/>
          <w:szCs w:val="20"/>
        </w:rPr>
        <w:t xml:space="preserve">P. </w:t>
      </w:r>
      <w:proofErr w:type="spellStart"/>
      <w:r>
        <w:rPr>
          <w:rFonts w:cstheme="minorHAnsi"/>
          <w:i w:val="0"/>
          <w:iCs w:val="0"/>
          <w:color w:val="000000" w:themeColor="text1"/>
          <w:sz w:val="20"/>
          <w:szCs w:val="20"/>
        </w:rPr>
        <w:t>australis</w:t>
      </w:r>
      <w:proofErr w:type="spellEnd"/>
      <w:r>
        <w:rPr>
          <w:rFonts w:cstheme="minorHAnsi"/>
          <w:color w:val="000000" w:themeColor="text1"/>
          <w:sz w:val="20"/>
          <w:szCs w:val="20"/>
        </w:rPr>
        <w:t xml:space="preserve"> potential growth at the surface vs. day of the year. The differences between individual projections and </w:t>
      </w:r>
      <w:proofErr w:type="spellStart"/>
      <w:r>
        <w:rPr>
          <w:rFonts w:cstheme="minorHAnsi"/>
          <w:color w:val="000000" w:themeColor="text1"/>
          <w:sz w:val="20"/>
          <w:szCs w:val="20"/>
        </w:rPr>
        <w:t>hindcasts</w:t>
      </w:r>
      <w:proofErr w:type="spellEnd"/>
      <w:r>
        <w:rPr>
          <w:rFonts w:cstheme="minorHAnsi"/>
          <w:color w:val="000000" w:themeColor="text1"/>
          <w:sz w:val="20"/>
          <w:szCs w:val="20"/>
        </w:rPr>
        <w:t xml:space="preserve"> for each year are plotted in grey. The difference between the projected composite year and the </w:t>
      </w:r>
      <w:proofErr w:type="spellStart"/>
      <w:r>
        <w:rPr>
          <w:rFonts w:cstheme="minorHAnsi"/>
          <w:color w:val="000000" w:themeColor="text1"/>
          <w:sz w:val="20"/>
          <w:szCs w:val="20"/>
        </w:rPr>
        <w:t>hindcast</w:t>
      </w:r>
      <w:proofErr w:type="spellEnd"/>
      <w:r>
        <w:rPr>
          <w:rFonts w:cstheme="minorHAnsi"/>
          <w:color w:val="000000" w:themeColor="text1"/>
          <w:sz w:val="20"/>
          <w:szCs w:val="20"/>
        </w:rPr>
        <w:t xml:space="preserve"> composite year is plotted in red. Data were averaged over the Gulf of Maine sub-region before plotting.</w:t>
      </w:r>
      <w:r>
        <w:rPr>
          <w:color w:val="000000" w:themeColor="text1"/>
          <w:sz w:val="20"/>
          <w:szCs w:val="20"/>
        </w:rPr>
        <w:t xml:space="preserve"> </w:t>
      </w:r>
    </w:p>
    <w:p>
      <w:pPr>
        <w:keepNext/>
      </w:pPr>
      <w:r>
        <w:rPr>
          <w:rFonts w:cstheme="minorHAnsi"/>
          <w:noProof/>
          <w:color w:val="000000" w:themeColor="text1"/>
          <w:lang w:eastAsia="en-IN"/>
        </w:rPr>
        <w:lastRenderedPageBreak/>
        <w:drawing>
          <wp:inline distT="0" distB="0" distL="0" distR="0">
            <wp:extent cx="5943600" cy="44577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4457700"/>
                    </a:xfrm>
                    <a:prstGeom prst="rect">
                      <a:avLst/>
                    </a:prstGeom>
                  </pic:spPr>
                </pic:pic>
              </a:graphicData>
            </a:graphic>
          </wp:inline>
        </w:drawing>
      </w:r>
    </w:p>
    <w:p>
      <w:pPr>
        <w:pStyle w:val="Caption"/>
        <w:rPr>
          <w:color w:val="000000" w:themeColor="text1"/>
          <w:sz w:val="20"/>
          <w:szCs w:val="20"/>
        </w:rPr>
      </w:pPr>
      <w:bookmarkStart w:id="5" w:name="_Ref96355095"/>
      <w:r>
        <w:rPr>
          <w:color w:val="000000" w:themeColor="text1"/>
          <w:sz w:val="20"/>
          <w:szCs w:val="20"/>
        </w:rPr>
        <w:t>Figure S-</w:t>
      </w:r>
      <w:r>
        <w:rPr>
          <w:color w:val="000000" w:themeColor="text1"/>
          <w:sz w:val="20"/>
          <w:szCs w:val="20"/>
        </w:rPr>
        <w:fldChar w:fldCharType="begin"/>
      </w:r>
      <w:r>
        <w:rPr>
          <w:color w:val="000000" w:themeColor="text1"/>
          <w:sz w:val="20"/>
          <w:szCs w:val="20"/>
        </w:rPr>
        <w:instrText xml:space="preserve"> SEQ Figure \* ARABIC </w:instrText>
      </w:r>
      <w:r>
        <w:rPr>
          <w:color w:val="000000" w:themeColor="text1"/>
          <w:sz w:val="20"/>
          <w:szCs w:val="20"/>
        </w:rPr>
        <w:fldChar w:fldCharType="separate"/>
      </w:r>
      <w:r>
        <w:rPr>
          <w:noProof/>
          <w:color w:val="000000" w:themeColor="text1"/>
          <w:sz w:val="20"/>
          <w:szCs w:val="20"/>
        </w:rPr>
        <w:t>4</w:t>
      </w:r>
      <w:r>
        <w:rPr>
          <w:color w:val="000000" w:themeColor="text1"/>
          <w:sz w:val="20"/>
          <w:szCs w:val="20"/>
        </w:rPr>
        <w:fldChar w:fldCharType="end"/>
      </w:r>
      <w:bookmarkEnd w:id="5"/>
      <w:r>
        <w:rPr>
          <w:color w:val="000000" w:themeColor="text1"/>
          <w:sz w:val="20"/>
          <w:szCs w:val="20"/>
        </w:rPr>
        <w:t xml:space="preserve"> - </w:t>
      </w:r>
      <w:r>
        <w:rPr>
          <w:rFonts w:cstheme="minorHAnsi"/>
          <w:color w:val="000000" w:themeColor="text1"/>
          <w:sz w:val="20"/>
          <w:szCs w:val="20"/>
        </w:rPr>
        <w:t xml:space="preserve">Change in </w:t>
      </w:r>
      <w:r>
        <w:rPr>
          <w:rFonts w:cstheme="minorHAnsi"/>
          <w:i w:val="0"/>
          <w:iCs w:val="0"/>
          <w:color w:val="000000" w:themeColor="text1"/>
          <w:sz w:val="20"/>
          <w:szCs w:val="20"/>
        </w:rPr>
        <w:t xml:space="preserve">P. </w:t>
      </w:r>
      <w:proofErr w:type="spellStart"/>
      <w:r>
        <w:rPr>
          <w:rFonts w:cstheme="minorHAnsi"/>
          <w:i w:val="0"/>
          <w:iCs w:val="0"/>
          <w:color w:val="000000" w:themeColor="text1"/>
          <w:sz w:val="20"/>
          <w:szCs w:val="20"/>
        </w:rPr>
        <w:t>australis</w:t>
      </w:r>
      <w:proofErr w:type="spellEnd"/>
      <w:r>
        <w:rPr>
          <w:rFonts w:cstheme="minorHAnsi"/>
          <w:color w:val="000000" w:themeColor="text1"/>
          <w:sz w:val="20"/>
          <w:szCs w:val="20"/>
        </w:rPr>
        <w:t xml:space="preserve"> potential growth at the surface vs. day of the year. The differences between individual projections and </w:t>
      </w:r>
      <w:proofErr w:type="spellStart"/>
      <w:r>
        <w:rPr>
          <w:rFonts w:cstheme="minorHAnsi"/>
          <w:color w:val="000000" w:themeColor="text1"/>
          <w:sz w:val="20"/>
          <w:szCs w:val="20"/>
        </w:rPr>
        <w:t>hindcasts</w:t>
      </w:r>
      <w:proofErr w:type="spellEnd"/>
      <w:r>
        <w:rPr>
          <w:rFonts w:cstheme="minorHAnsi"/>
          <w:color w:val="000000" w:themeColor="text1"/>
          <w:sz w:val="20"/>
          <w:szCs w:val="20"/>
        </w:rPr>
        <w:t xml:space="preserve"> for each year are plotted in grey. The difference between the projected composite year and the </w:t>
      </w:r>
      <w:proofErr w:type="spellStart"/>
      <w:r>
        <w:rPr>
          <w:rFonts w:cstheme="minorHAnsi"/>
          <w:color w:val="000000" w:themeColor="text1"/>
          <w:sz w:val="20"/>
          <w:szCs w:val="20"/>
        </w:rPr>
        <w:t>hindcast</w:t>
      </w:r>
      <w:proofErr w:type="spellEnd"/>
      <w:r>
        <w:rPr>
          <w:rFonts w:cstheme="minorHAnsi"/>
          <w:color w:val="000000" w:themeColor="text1"/>
          <w:sz w:val="20"/>
          <w:szCs w:val="20"/>
        </w:rPr>
        <w:t xml:space="preserve"> composite year is plotted in red. Data were averaged over the Gulf of Maine sub-region before plotting</w:t>
      </w:r>
    </w:p>
    <w:p>
      <w:pPr>
        <w:rPr>
          <w:rFonts w:cstheme="minorHAnsi"/>
          <w:color w:val="000000" w:themeColor="text1"/>
        </w:rPr>
      </w:pPr>
      <w:r>
        <w:rPr>
          <w:rFonts w:cstheme="minorHAnsi"/>
          <w:color w:val="000000" w:themeColor="text1"/>
        </w:rPr>
        <w:br w:type="page"/>
      </w:r>
    </w:p>
    <w:p>
      <w:pPr>
        <w:pStyle w:val="Heading2"/>
        <w:rPr>
          <w:rFonts w:cstheme="minorHAnsi"/>
          <w:color w:val="000000" w:themeColor="text1"/>
        </w:rPr>
      </w:pPr>
      <w:bookmarkStart w:id="6" w:name="_Toc64919930"/>
      <w:bookmarkStart w:id="7" w:name="_Toc64921456"/>
      <w:bookmarkStart w:id="8" w:name="_Toc67038496"/>
      <w:r>
        <w:lastRenderedPageBreak/>
        <w:t>Discussion</w:t>
      </w:r>
      <w:bookmarkEnd w:id="6"/>
      <w:bookmarkEnd w:id="7"/>
      <w:bookmarkEnd w:id="8"/>
    </w:p>
    <w:p>
      <w:pPr>
        <w:rPr>
          <w:rFonts w:cstheme="minorHAnsi"/>
          <w:color w:val="000000" w:themeColor="text1"/>
        </w:rPr>
      </w:pPr>
      <w:r>
        <w:rPr>
          <w:rFonts w:cstheme="minorHAnsi"/>
          <w:color w:val="000000" w:themeColor="text1"/>
        </w:rPr>
        <w:t>Surface salinity decreased by 0.3 PSU on average in the NWA ROMS projection within the GOM ROMS domain, but by 0.9 PSU on average in the GOM ROMS projection.</w:t>
      </w:r>
    </w:p>
    <w:p>
      <w:pPr>
        <w:keepNext/>
        <w:rPr>
          <w:rFonts w:cstheme="minorHAnsi"/>
          <w:color w:val="000000" w:themeColor="text1"/>
        </w:rPr>
      </w:pPr>
      <w:r>
        <w:rPr>
          <w:rFonts w:cstheme="minorHAnsi"/>
          <w:noProof/>
          <w:color w:val="000000" w:themeColor="text1"/>
          <w:lang w:eastAsia="en-IN"/>
        </w:rPr>
        <w:drawing>
          <wp:inline distT="0" distB="0" distL="0" distR="0">
            <wp:extent cx="5943600" cy="4457700"/>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pPr>
        <w:keepNext/>
        <w:rPr>
          <w:rFonts w:cstheme="minorHAnsi"/>
          <w:i/>
          <w:iCs/>
          <w:color w:val="000000" w:themeColor="text1"/>
          <w:sz w:val="20"/>
          <w:szCs w:val="20"/>
        </w:rPr>
      </w:pPr>
      <w:bookmarkStart w:id="9" w:name="_Ref67552933"/>
      <w:r>
        <w:rPr>
          <w:i/>
          <w:iCs/>
          <w:color w:val="000000" w:themeColor="text1"/>
          <w:sz w:val="20"/>
          <w:szCs w:val="20"/>
        </w:rPr>
        <w:t>Figure S-</w:t>
      </w:r>
      <w:r>
        <w:rPr>
          <w:i/>
          <w:iCs/>
          <w:color w:val="000000" w:themeColor="text1"/>
          <w:sz w:val="20"/>
          <w:szCs w:val="20"/>
        </w:rPr>
        <w:fldChar w:fldCharType="begin"/>
      </w:r>
      <w:r>
        <w:rPr>
          <w:i/>
          <w:iCs/>
          <w:color w:val="000000" w:themeColor="text1"/>
          <w:sz w:val="20"/>
          <w:szCs w:val="20"/>
        </w:rPr>
        <w:instrText xml:space="preserve"> SEQ Figure \* ARABIC </w:instrText>
      </w:r>
      <w:r>
        <w:rPr>
          <w:i/>
          <w:iCs/>
          <w:color w:val="000000" w:themeColor="text1"/>
          <w:sz w:val="20"/>
          <w:szCs w:val="20"/>
        </w:rPr>
        <w:fldChar w:fldCharType="separate"/>
      </w:r>
      <w:r>
        <w:rPr>
          <w:i/>
          <w:iCs/>
          <w:noProof/>
          <w:color w:val="000000" w:themeColor="text1"/>
          <w:sz w:val="20"/>
          <w:szCs w:val="20"/>
        </w:rPr>
        <w:t>5</w:t>
      </w:r>
      <w:r>
        <w:rPr>
          <w:i/>
          <w:iCs/>
          <w:color w:val="000000" w:themeColor="text1"/>
          <w:sz w:val="20"/>
          <w:szCs w:val="20"/>
        </w:rPr>
        <w:fldChar w:fldCharType="end"/>
      </w:r>
      <w:bookmarkEnd w:id="9"/>
      <w:r>
        <w:rPr>
          <w:rFonts w:cstheme="minorHAnsi"/>
          <w:i/>
          <w:iCs/>
          <w:color w:val="000000" w:themeColor="text1"/>
          <w:sz w:val="20"/>
          <w:szCs w:val="20"/>
        </w:rPr>
        <w:t xml:space="preserve"> - Change in average surface salinity in the GOM ROMS domain vs. time from (blue) the GOM ROMS and (red) the NWA ROMS. NWA ROMS data were interpolated to the GOM ROMS grid before plotting. Data are only plotted for the time period when the two model simulations overlap.</w:t>
      </w:r>
    </w:p>
    <w:p>
      <w:pPr>
        <w:keepNext/>
        <w:rPr>
          <w:color w:val="000000" w:themeColor="text1"/>
          <w:sz w:val="20"/>
          <w:szCs w:val="20"/>
        </w:rPr>
      </w:pPr>
    </w:p>
    <w:p>
      <w:pPr>
        <w:keepNext/>
        <w:rPr>
          <w:rFonts w:cstheme="minorHAnsi"/>
          <w:color w:val="000000" w:themeColor="text1"/>
        </w:rPr>
      </w:pPr>
    </w:p>
    <w:p>
      <w:pPr>
        <w:rPr>
          <w:rFonts w:cstheme="minorHAnsi"/>
          <w:color w:val="000000" w:themeColor="text1"/>
        </w:rPr>
      </w:pPr>
      <w:r>
        <w:rPr>
          <w:rFonts w:eastAsiaTheme="minorEastAsia" w:cstheme="minorHAnsi"/>
          <w:color w:val="000000" w:themeColor="text1"/>
        </w:rPr>
        <w:br w:type="page"/>
      </w:r>
    </w:p>
    <w:p>
      <w:pPr>
        <w:keepNext/>
      </w:pPr>
      <w:r>
        <w:rPr>
          <w:rFonts w:cstheme="minorHAnsi"/>
          <w:noProof/>
          <w:color w:val="000000" w:themeColor="text1"/>
          <w:lang w:eastAsia="en-IN"/>
        </w:rPr>
        <w:lastRenderedPageBreak/>
        <w:drawing>
          <wp:inline distT="0" distB="0" distL="0" distR="0">
            <wp:extent cx="5943600" cy="44577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4457700"/>
                    </a:xfrm>
                    <a:prstGeom prst="rect">
                      <a:avLst/>
                    </a:prstGeom>
                  </pic:spPr>
                </pic:pic>
              </a:graphicData>
            </a:graphic>
          </wp:inline>
        </w:drawing>
      </w:r>
    </w:p>
    <w:p>
      <w:pPr>
        <w:pStyle w:val="Caption"/>
        <w:rPr>
          <w:sz w:val="20"/>
          <w:szCs w:val="20"/>
        </w:rPr>
      </w:pPr>
      <w:bookmarkStart w:id="10" w:name="_Ref72933924"/>
      <w:r>
        <w:rPr>
          <w:color w:val="000000" w:themeColor="text1"/>
          <w:sz w:val="20"/>
          <w:szCs w:val="20"/>
        </w:rPr>
        <w:t>Figure S-</w:t>
      </w:r>
      <w:r>
        <w:rPr>
          <w:color w:val="000000" w:themeColor="text1"/>
          <w:sz w:val="20"/>
          <w:szCs w:val="20"/>
        </w:rPr>
        <w:fldChar w:fldCharType="begin"/>
      </w:r>
      <w:r>
        <w:rPr>
          <w:color w:val="000000" w:themeColor="text1"/>
          <w:sz w:val="20"/>
          <w:szCs w:val="20"/>
        </w:rPr>
        <w:instrText xml:space="preserve"> SEQ Figure \* ARABIC </w:instrText>
      </w:r>
      <w:r>
        <w:rPr>
          <w:color w:val="000000" w:themeColor="text1"/>
          <w:sz w:val="20"/>
          <w:szCs w:val="20"/>
        </w:rPr>
        <w:fldChar w:fldCharType="separate"/>
      </w:r>
      <w:r>
        <w:rPr>
          <w:noProof/>
          <w:color w:val="000000" w:themeColor="text1"/>
          <w:sz w:val="20"/>
          <w:szCs w:val="20"/>
        </w:rPr>
        <w:t>6</w:t>
      </w:r>
      <w:r>
        <w:rPr>
          <w:color w:val="000000" w:themeColor="text1"/>
          <w:sz w:val="20"/>
          <w:szCs w:val="20"/>
        </w:rPr>
        <w:fldChar w:fldCharType="end"/>
      </w:r>
      <w:bookmarkEnd w:id="10"/>
      <w:r>
        <w:rPr>
          <w:color w:val="000000" w:themeColor="text1"/>
          <w:sz w:val="20"/>
          <w:szCs w:val="20"/>
        </w:rPr>
        <w:t xml:space="preserve"> - </w:t>
      </w:r>
      <w:r>
        <w:rPr>
          <w:rFonts w:cstheme="minorHAnsi"/>
          <w:color w:val="000000" w:themeColor="text1"/>
          <w:sz w:val="20"/>
          <w:szCs w:val="20"/>
        </w:rPr>
        <w:t>Contours of the difference in average salinity between the GOM ROMS and the NWA ROMS at the GOM ROMS eastern boundary. Depth in meters is shown on the y axis, and cross-shore distance in km is shown on the x axis, with the coastline to the left. Corresponding color values are given in the color bars on the right</w:t>
      </w:r>
      <w:r>
        <w:rPr>
          <w:sz w:val="20"/>
          <w:szCs w:val="20"/>
        </w:rPr>
        <w:t>.</w:t>
      </w:r>
    </w:p>
    <w:p>
      <w:pPr>
        <w:rPr>
          <w:rFonts w:cstheme="minorHAnsi"/>
          <w:color w:val="000000" w:themeColor="text1"/>
        </w:rPr>
      </w:pPr>
      <w:r>
        <w:rPr>
          <w:rFonts w:cstheme="minorHAnsi"/>
          <w:color w:val="000000" w:themeColor="text1"/>
        </w:rPr>
        <w:br w:type="page"/>
      </w:r>
    </w:p>
    <w:p>
      <w:pPr>
        <w:keepNext/>
        <w:rPr>
          <w:rFonts w:cstheme="minorHAnsi"/>
          <w:color w:val="000000" w:themeColor="text1"/>
        </w:rPr>
      </w:pPr>
      <w:r>
        <w:rPr>
          <w:rFonts w:cstheme="minorHAnsi"/>
          <w:color w:val="000000" w:themeColor="text1"/>
        </w:rPr>
        <w:lastRenderedPageBreak/>
        <w:t>In the projected composite year, while the average surface temperature in most of the domain was 16</w:t>
      </w:r>
      <m:oMath>
        <m:r>
          <w:rPr>
            <w:rFonts w:ascii="Cambria Math" w:hAnsi="Cambria Math" w:cstheme="minorHAnsi"/>
            <w:color w:val="000000" w:themeColor="text1"/>
          </w:rPr>
          <m:t>℃</m:t>
        </m:r>
      </m:oMath>
      <w:r>
        <w:rPr>
          <w:rFonts w:eastAsiaTheme="minorEastAsia" w:cstheme="minorHAnsi"/>
          <w:color w:val="000000" w:themeColor="text1"/>
        </w:rPr>
        <w:t>, [the water near Nova Scotia and in the Bay of Fundy] remained between 8 and 12</w:t>
      </w:r>
      <m:oMath>
        <m:r>
          <w:rPr>
            <w:rFonts w:ascii="Cambria Math" w:hAnsi="Cambria Math" w:cstheme="minorHAnsi"/>
            <w:color w:val="000000" w:themeColor="text1"/>
          </w:rPr>
          <m:t>℃</m:t>
        </m:r>
      </m:oMath>
      <w:r>
        <w:rPr>
          <w:rFonts w:eastAsiaTheme="minorEastAsia" w:cstheme="minorHAnsi"/>
          <w:color w:val="000000" w:themeColor="text1"/>
        </w:rPr>
        <w:t>.</w:t>
      </w:r>
    </w:p>
    <w:p>
      <w:pPr>
        <w:keepNext/>
        <w:rPr>
          <w:rFonts w:cstheme="minorHAnsi"/>
          <w:color w:val="000000" w:themeColor="text1"/>
        </w:rPr>
      </w:pPr>
      <w:r>
        <w:rPr>
          <w:rFonts w:cstheme="minorHAnsi"/>
          <w:noProof/>
          <w:color w:val="000000" w:themeColor="text1"/>
          <w:lang w:eastAsia="en-IN"/>
        </w:rPr>
        <w:drawing>
          <wp:inline distT="0" distB="0" distL="0" distR="0">
            <wp:extent cx="4889637" cy="4052239"/>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4889637" cy="4052239"/>
                    </a:xfrm>
                    <a:prstGeom prst="rect">
                      <a:avLst/>
                    </a:prstGeom>
                  </pic:spPr>
                </pic:pic>
              </a:graphicData>
            </a:graphic>
          </wp:inline>
        </w:drawing>
      </w:r>
    </w:p>
    <w:p>
      <w:pPr>
        <w:pStyle w:val="Caption"/>
        <w:rPr>
          <w:rFonts w:cstheme="minorHAnsi"/>
          <w:color w:val="000000" w:themeColor="text1"/>
          <w:sz w:val="20"/>
          <w:szCs w:val="20"/>
        </w:rPr>
      </w:pPr>
      <w:bookmarkStart w:id="11" w:name="_Ref67552339"/>
      <w:r>
        <w:rPr>
          <w:color w:val="000000" w:themeColor="text1"/>
          <w:sz w:val="20"/>
          <w:szCs w:val="20"/>
        </w:rPr>
        <w:t>Figure S-</w:t>
      </w:r>
      <w:r>
        <w:rPr>
          <w:color w:val="000000" w:themeColor="text1"/>
          <w:sz w:val="20"/>
          <w:szCs w:val="20"/>
        </w:rPr>
        <w:fldChar w:fldCharType="begin"/>
      </w:r>
      <w:r>
        <w:rPr>
          <w:color w:val="000000" w:themeColor="text1"/>
          <w:sz w:val="20"/>
          <w:szCs w:val="20"/>
        </w:rPr>
        <w:instrText xml:space="preserve"> SEQ Figure \* ARABIC </w:instrText>
      </w:r>
      <w:r>
        <w:rPr>
          <w:color w:val="000000" w:themeColor="text1"/>
          <w:sz w:val="20"/>
          <w:szCs w:val="20"/>
        </w:rPr>
        <w:fldChar w:fldCharType="separate"/>
      </w:r>
      <w:r>
        <w:rPr>
          <w:noProof/>
          <w:color w:val="000000" w:themeColor="text1"/>
          <w:sz w:val="20"/>
          <w:szCs w:val="20"/>
        </w:rPr>
        <w:t>7</w:t>
      </w:r>
      <w:r>
        <w:rPr>
          <w:color w:val="000000" w:themeColor="text1"/>
          <w:sz w:val="20"/>
          <w:szCs w:val="20"/>
        </w:rPr>
        <w:fldChar w:fldCharType="end"/>
      </w:r>
      <w:bookmarkEnd w:id="11"/>
      <w:r>
        <w:rPr>
          <w:rFonts w:cstheme="minorHAnsi"/>
          <w:color w:val="000000" w:themeColor="text1"/>
          <w:sz w:val="20"/>
          <w:szCs w:val="20"/>
        </w:rPr>
        <w:t xml:space="preserve"> - Average SST in the projected composite year. Color scale is defined by the color bar on the right.</w:t>
      </w:r>
    </w:p>
    <w:p>
      <w:pPr>
        <w:keepNext/>
        <w:jc w:val="both"/>
        <w:rPr>
          <w:rFonts w:cstheme="minorHAnsi"/>
          <w:color w:val="000000" w:themeColor="text1"/>
        </w:rPr>
      </w:pPr>
      <w:r>
        <w:rPr>
          <w:rFonts w:eastAsiaTheme="minorEastAsia" w:cstheme="minorHAnsi"/>
          <w:color w:val="000000" w:themeColor="text1"/>
        </w:rPr>
        <w:lastRenderedPageBreak/>
        <w:t xml:space="preserve">To assess how these species’ growth might change as a result of warming temperatures, the </w:t>
      </w:r>
      <w:r>
        <w:rPr>
          <w:rFonts w:eastAsiaTheme="minorEastAsia" w:cstheme="minorHAnsi"/>
          <w:i/>
          <w:color w:val="000000" w:themeColor="text1"/>
        </w:rPr>
        <w:t xml:space="preserve">P. </w:t>
      </w:r>
      <w:proofErr w:type="spellStart"/>
      <w:r>
        <w:rPr>
          <w:rFonts w:eastAsiaTheme="minorEastAsia" w:cstheme="minorHAnsi"/>
          <w:i/>
          <w:color w:val="000000" w:themeColor="text1"/>
        </w:rPr>
        <w:t>australis</w:t>
      </w:r>
      <w:proofErr w:type="spellEnd"/>
      <w:r>
        <w:rPr>
          <w:rFonts w:eastAsiaTheme="minorEastAsia" w:cstheme="minorHAnsi"/>
          <w:color w:val="000000" w:themeColor="text1"/>
        </w:rPr>
        <w:t xml:space="preserve"> growth curve was shifted to their corresponding temperature ranges such that the curve approached zero at 15</w:t>
      </w:r>
      <m:oMath>
        <m:r>
          <w:rPr>
            <w:rFonts w:ascii="Cambria Math" w:hAnsi="Cambria Math" w:cstheme="minorHAnsi"/>
            <w:color w:val="000000" w:themeColor="text1"/>
          </w:rPr>
          <m:t>℃</m:t>
        </m:r>
      </m:oMath>
      <w:r>
        <w:rPr>
          <w:rFonts w:eastAsiaTheme="minorEastAsia" w:cstheme="minorHAnsi"/>
          <w:color w:val="000000" w:themeColor="text1"/>
        </w:rPr>
        <w:t xml:space="preserve"> for </w:t>
      </w:r>
      <w:r>
        <w:rPr>
          <w:rFonts w:eastAsiaTheme="minorEastAsia" w:cstheme="minorHAnsi"/>
          <w:i/>
          <w:color w:val="000000" w:themeColor="text1"/>
        </w:rPr>
        <w:t xml:space="preserve">P. </w:t>
      </w:r>
      <w:proofErr w:type="spellStart"/>
      <w:r>
        <w:rPr>
          <w:rFonts w:eastAsiaTheme="minorEastAsia" w:cstheme="minorHAnsi"/>
          <w:i/>
          <w:color w:val="000000" w:themeColor="text1"/>
        </w:rPr>
        <w:t>seriata</w:t>
      </w:r>
      <w:proofErr w:type="spellEnd"/>
      <w:r>
        <w:rPr>
          <w:rFonts w:eastAsiaTheme="minorEastAsia" w:cstheme="minorHAnsi"/>
          <w:color w:val="000000" w:themeColor="text1"/>
        </w:rPr>
        <w:t xml:space="preserve"> and growth peaked at 17</w:t>
      </w:r>
      <m:oMath>
        <m:r>
          <w:rPr>
            <w:rFonts w:ascii="Cambria Math" w:hAnsi="Cambria Math" w:cstheme="minorHAnsi"/>
            <w:color w:val="000000" w:themeColor="text1"/>
          </w:rPr>
          <m:t>℃</m:t>
        </m:r>
      </m:oMath>
      <w:r>
        <w:rPr>
          <w:rFonts w:eastAsiaTheme="minorEastAsia" w:cstheme="minorHAnsi"/>
          <w:color w:val="000000" w:themeColor="text1"/>
        </w:rPr>
        <w:t xml:space="preserve"> for  </w:t>
      </w:r>
      <w:r>
        <w:rPr>
          <w:rFonts w:eastAsiaTheme="minorEastAsia" w:cstheme="minorHAnsi"/>
          <w:i/>
          <w:color w:val="000000" w:themeColor="text1"/>
        </w:rPr>
        <w:t xml:space="preserve">P. </w:t>
      </w:r>
      <w:proofErr w:type="spellStart"/>
      <w:r>
        <w:rPr>
          <w:rFonts w:eastAsiaTheme="minorEastAsia" w:cstheme="minorHAnsi"/>
          <w:i/>
          <w:color w:val="000000" w:themeColor="text1"/>
        </w:rPr>
        <w:t>plurisecta</w:t>
      </w:r>
      <w:proofErr w:type="spellEnd"/>
      <w:r>
        <w:rPr>
          <w:rFonts w:eastAsiaTheme="minorEastAsia" w:cstheme="minorHAnsi"/>
          <w:i/>
          <w:color w:val="000000" w:themeColor="text1"/>
        </w:rPr>
        <w:t>.</w:t>
      </w:r>
    </w:p>
    <w:p>
      <w:pPr>
        <w:keepNext/>
        <w:spacing w:line="360" w:lineRule="auto"/>
        <w:jc w:val="both"/>
        <w:rPr>
          <w:rFonts w:cstheme="minorHAnsi"/>
          <w:color w:val="000000" w:themeColor="text1"/>
        </w:rPr>
      </w:pPr>
      <w:r>
        <w:rPr>
          <w:rFonts w:cstheme="minorHAnsi"/>
          <w:noProof/>
          <w:color w:val="000000" w:themeColor="text1"/>
          <w:lang w:eastAsia="en-IN"/>
        </w:rPr>
        <w:drawing>
          <wp:inline distT="0" distB="0" distL="0" distR="0">
            <wp:extent cx="5339951" cy="4457698"/>
            <wp:effectExtent l="0" t="0" r="0" b="635"/>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pic:cNvPicPr/>
                  </pic:nvPicPr>
                  <pic:blipFill>
                    <a:blip r:embed="rId12">
                      <a:extLst>
                        <a:ext uri="{28A0092B-C50C-407E-A947-70E740481C1C}">
                          <a14:useLocalDpi xmlns:a14="http://schemas.microsoft.com/office/drawing/2010/main" val="0"/>
                        </a:ext>
                      </a:extLst>
                    </a:blip>
                    <a:stretch>
                      <a:fillRect/>
                    </a:stretch>
                  </pic:blipFill>
                  <pic:spPr>
                    <a:xfrm>
                      <a:off x="0" y="0"/>
                      <a:ext cx="5339951" cy="4457698"/>
                    </a:xfrm>
                    <a:prstGeom prst="rect">
                      <a:avLst/>
                    </a:prstGeom>
                  </pic:spPr>
                </pic:pic>
              </a:graphicData>
            </a:graphic>
          </wp:inline>
        </w:drawing>
      </w:r>
    </w:p>
    <w:p>
      <w:pPr>
        <w:pStyle w:val="Caption"/>
        <w:rPr>
          <w:rFonts w:cstheme="minorHAnsi"/>
          <w:color w:val="000000" w:themeColor="text1"/>
          <w:sz w:val="20"/>
          <w:szCs w:val="20"/>
        </w:rPr>
      </w:pPr>
      <w:bookmarkStart w:id="12" w:name="_Ref67553026"/>
      <w:r>
        <w:rPr>
          <w:color w:val="000000" w:themeColor="text1"/>
          <w:sz w:val="20"/>
          <w:szCs w:val="20"/>
        </w:rPr>
        <w:t>Figure S-</w:t>
      </w:r>
      <w:r>
        <w:rPr>
          <w:color w:val="000000" w:themeColor="text1"/>
          <w:sz w:val="20"/>
          <w:szCs w:val="20"/>
        </w:rPr>
        <w:fldChar w:fldCharType="begin"/>
      </w:r>
      <w:r>
        <w:rPr>
          <w:color w:val="000000" w:themeColor="text1"/>
          <w:sz w:val="20"/>
          <w:szCs w:val="20"/>
        </w:rPr>
        <w:instrText xml:space="preserve"> SEQ Figure \* ARABIC </w:instrText>
      </w:r>
      <w:r>
        <w:rPr>
          <w:color w:val="000000" w:themeColor="text1"/>
          <w:sz w:val="20"/>
          <w:szCs w:val="20"/>
        </w:rPr>
        <w:fldChar w:fldCharType="separate"/>
      </w:r>
      <w:r>
        <w:rPr>
          <w:noProof/>
          <w:color w:val="000000" w:themeColor="text1"/>
          <w:sz w:val="20"/>
          <w:szCs w:val="20"/>
        </w:rPr>
        <w:t>8</w:t>
      </w:r>
      <w:r>
        <w:rPr>
          <w:color w:val="000000" w:themeColor="text1"/>
          <w:sz w:val="20"/>
          <w:szCs w:val="20"/>
        </w:rPr>
        <w:fldChar w:fldCharType="end"/>
      </w:r>
      <w:bookmarkEnd w:id="12"/>
      <w:r>
        <w:rPr>
          <w:rFonts w:cstheme="minorHAnsi"/>
          <w:color w:val="000000" w:themeColor="text1"/>
          <w:sz w:val="20"/>
          <w:szCs w:val="20"/>
        </w:rPr>
        <w:t xml:space="preserve"> – Same as </w:t>
      </w:r>
      <w:r>
        <w:rPr>
          <w:rFonts w:cstheme="minorHAnsi"/>
          <w:color w:val="000000" w:themeColor="text1"/>
          <w:sz w:val="20"/>
          <w:szCs w:val="20"/>
        </w:rPr>
        <w:fldChar w:fldCharType="begin"/>
      </w:r>
      <w:r>
        <w:rPr>
          <w:rFonts w:cstheme="minorHAnsi"/>
          <w:color w:val="000000" w:themeColor="text1"/>
          <w:sz w:val="20"/>
          <w:szCs w:val="20"/>
        </w:rPr>
        <w:instrText xml:space="preserve"> REF _Ref67552667 \h  \* MERGEFORMAT </w:instrText>
      </w:r>
      <w:r>
        <w:rPr>
          <w:rFonts w:cstheme="minorHAnsi"/>
          <w:color w:val="000000" w:themeColor="text1"/>
          <w:sz w:val="20"/>
          <w:szCs w:val="20"/>
        </w:rPr>
      </w:r>
      <w:r>
        <w:rPr>
          <w:rFonts w:cstheme="minorHAnsi"/>
          <w:color w:val="000000" w:themeColor="text1"/>
          <w:sz w:val="20"/>
          <w:szCs w:val="20"/>
        </w:rPr>
        <w:fldChar w:fldCharType="separate"/>
      </w:r>
      <w:r>
        <w:rPr>
          <w:rFonts w:cstheme="minorHAnsi"/>
          <w:color w:val="000000" w:themeColor="text1"/>
          <w:sz w:val="20"/>
          <w:szCs w:val="20"/>
        </w:rPr>
        <w:t xml:space="preserve">Figure </w:t>
      </w:r>
      <w:r>
        <w:rPr>
          <w:rFonts w:cstheme="minorHAnsi"/>
          <w:noProof/>
          <w:color w:val="000000" w:themeColor="text1"/>
          <w:sz w:val="20"/>
          <w:szCs w:val="20"/>
        </w:rPr>
        <w:t>3</w:t>
      </w:r>
      <w:r>
        <w:rPr>
          <w:rFonts w:cstheme="minorHAnsi"/>
          <w:color w:val="000000" w:themeColor="text1"/>
          <w:sz w:val="20"/>
          <w:szCs w:val="20"/>
        </w:rPr>
        <w:fldChar w:fldCharType="end"/>
      </w:r>
      <w:r>
        <w:rPr>
          <w:rFonts w:cstheme="minorHAnsi"/>
          <w:color w:val="000000" w:themeColor="text1"/>
          <w:sz w:val="20"/>
          <w:szCs w:val="20"/>
        </w:rPr>
        <w:t>, but with growth curves for a hypothetical cold-adapted species (dashed line) and warm-adapted species (dotted line) included for reference</w:t>
      </w:r>
    </w:p>
    <w:p>
      <w:pPr>
        <w:rPr>
          <w:rFonts w:cstheme="minorHAnsi"/>
          <w:sz w:val="20"/>
          <w:szCs w:val="20"/>
        </w:rPr>
      </w:pPr>
    </w:p>
    <w:p/>
    <w:sectPr>
      <w:footerReference w:type="even" r:id="rId13"/>
      <w:footerReference w:type="default" r:id="rId14"/>
      <w:pgSz w:w="12240" w:h="15840"/>
      <w:pgMar w:top="1440" w:right="1440" w:bottom="1440" w:left="1440" w:header="720" w:footer="720" w:gutter="0"/>
      <w:lnNumType w:countBy="1" w:restart="continuous"/>
      <w:cols w:space="720"/>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590696763"/>
      <w:docPartObj>
        <w:docPartGallery w:val="Page Numbers (Bottom of Page)"/>
        <w:docPartUnique/>
      </w:docPartObj>
    </w:sdtPr>
    <w:sdtContent>
      <w:p>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1036049"/>
      <w:docPartObj>
        <w:docPartGallery w:val="Page Numbers (Bottom of Page)"/>
        <w:docPartUnique/>
      </w:docPartObj>
    </w:sdtPr>
    <w:sdtContent>
      <w:p>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10</w:t>
        </w:r>
        <w:r>
          <w:rPr>
            <w:rStyle w:val="PageNumber"/>
          </w:rPr>
          <w:fldChar w:fldCharType="end"/>
        </w:r>
      </w:p>
    </w:sdtContent>
  </w:sdt>
  <w:p>
    <w:pPr>
      <w:pStyle w:val="Footer"/>
      <w:ind w:right="360"/>
    </w:pPr>
  </w:p>
</w:ft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695A86"/>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2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Total_Editing_Time" w:val="0"/>
  </w:docVar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1F1EDCF-AA10-4631-A175-4AD143E4C4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pPr>
      <w:keepNext/>
      <w:keepLines/>
      <w:numPr>
        <w:numId w:val="1"/>
      </w:numPr>
      <w:spacing w:before="240" w:after="0" w:line="240" w:lineRule="auto"/>
      <w:outlineLvl w:val="0"/>
    </w:pPr>
    <w:rPr>
      <w:rFonts w:asciiTheme="majorHAnsi" w:eastAsiaTheme="majorEastAsia" w:hAnsiTheme="majorHAnsi" w:cstheme="majorBidi"/>
      <w:color w:val="2E74B5" w:themeColor="accent1" w:themeShade="BF"/>
      <w:sz w:val="32"/>
      <w:szCs w:val="32"/>
      <w:lang w:val="en-US"/>
    </w:rPr>
  </w:style>
  <w:style w:type="paragraph" w:styleId="Heading2">
    <w:name w:val="heading 2"/>
    <w:basedOn w:val="Normal"/>
    <w:next w:val="Normal"/>
    <w:link w:val="Heading2Char"/>
    <w:uiPriority w:val="9"/>
    <w:unhideWhenUsed/>
    <w:qFormat/>
    <w:pPr>
      <w:keepNext/>
      <w:keepLines/>
      <w:numPr>
        <w:ilvl w:val="1"/>
        <w:numId w:val="1"/>
      </w:numPr>
      <w:spacing w:before="40" w:after="0" w:line="240" w:lineRule="auto"/>
      <w:outlineLvl w:val="1"/>
    </w:pPr>
    <w:rPr>
      <w:rFonts w:asciiTheme="majorHAnsi" w:eastAsiaTheme="majorEastAsia" w:hAnsiTheme="majorHAnsi" w:cstheme="majorBidi"/>
      <w:color w:val="2E74B5" w:themeColor="accent1" w:themeShade="BF"/>
      <w:sz w:val="26"/>
      <w:szCs w:val="26"/>
      <w:lang w:val="en-US"/>
    </w:rPr>
  </w:style>
  <w:style w:type="paragraph" w:styleId="Heading3">
    <w:name w:val="heading 3"/>
    <w:basedOn w:val="Normal"/>
    <w:next w:val="Normal"/>
    <w:link w:val="Heading3Char"/>
    <w:uiPriority w:val="9"/>
    <w:unhideWhenUsed/>
    <w:qFormat/>
    <w:pPr>
      <w:keepNext/>
      <w:keepLines/>
      <w:numPr>
        <w:ilvl w:val="2"/>
        <w:numId w:val="1"/>
      </w:numPr>
      <w:spacing w:before="40" w:after="0" w:line="240" w:lineRule="auto"/>
      <w:outlineLvl w:val="2"/>
    </w:pPr>
    <w:rPr>
      <w:rFonts w:asciiTheme="majorHAnsi" w:eastAsiaTheme="majorEastAsia" w:hAnsiTheme="majorHAnsi" w:cstheme="majorBidi"/>
      <w:color w:val="1F4D78" w:themeColor="accent1" w:themeShade="7F"/>
      <w:sz w:val="24"/>
      <w:szCs w:val="24"/>
      <w:lang w:val="en-US"/>
    </w:rPr>
  </w:style>
  <w:style w:type="paragraph" w:styleId="Heading4">
    <w:name w:val="heading 4"/>
    <w:basedOn w:val="Normal"/>
    <w:next w:val="Normal"/>
    <w:link w:val="Heading4Char"/>
    <w:uiPriority w:val="9"/>
    <w:unhideWhenUsed/>
    <w:qFormat/>
    <w:pPr>
      <w:keepNext/>
      <w:keepLines/>
      <w:numPr>
        <w:ilvl w:val="3"/>
        <w:numId w:val="1"/>
      </w:numPr>
      <w:spacing w:before="40" w:after="0" w:line="240" w:lineRule="auto"/>
      <w:outlineLvl w:val="3"/>
    </w:pPr>
    <w:rPr>
      <w:rFonts w:asciiTheme="majorHAnsi" w:eastAsiaTheme="majorEastAsia" w:hAnsiTheme="majorHAnsi" w:cstheme="majorBidi"/>
      <w:i/>
      <w:iCs/>
      <w:color w:val="2E74B5" w:themeColor="accent1" w:themeShade="BF"/>
      <w:sz w:val="24"/>
      <w:szCs w:val="24"/>
      <w:lang w:val="en-US"/>
    </w:rPr>
  </w:style>
  <w:style w:type="paragraph" w:styleId="Heading5">
    <w:name w:val="heading 5"/>
    <w:basedOn w:val="Normal"/>
    <w:next w:val="Normal"/>
    <w:link w:val="Heading5Char"/>
    <w:uiPriority w:val="9"/>
    <w:unhideWhenUsed/>
    <w:qFormat/>
    <w:pPr>
      <w:keepNext/>
      <w:keepLines/>
      <w:numPr>
        <w:ilvl w:val="4"/>
        <w:numId w:val="1"/>
      </w:numPr>
      <w:spacing w:before="40" w:after="0" w:line="240" w:lineRule="auto"/>
      <w:outlineLvl w:val="4"/>
    </w:pPr>
    <w:rPr>
      <w:rFonts w:asciiTheme="majorHAnsi" w:eastAsiaTheme="majorEastAsia" w:hAnsiTheme="majorHAnsi" w:cstheme="majorBidi"/>
      <w:color w:val="2E74B5" w:themeColor="accent1" w:themeShade="BF"/>
      <w:sz w:val="24"/>
      <w:szCs w:val="24"/>
      <w:lang w:val="en-US"/>
    </w:rPr>
  </w:style>
  <w:style w:type="paragraph" w:styleId="Heading6">
    <w:name w:val="heading 6"/>
    <w:basedOn w:val="Normal"/>
    <w:next w:val="Normal"/>
    <w:link w:val="Heading6Char"/>
    <w:uiPriority w:val="9"/>
    <w:semiHidden/>
    <w:unhideWhenUsed/>
    <w:qFormat/>
    <w:pPr>
      <w:keepNext/>
      <w:keepLines/>
      <w:numPr>
        <w:ilvl w:val="5"/>
        <w:numId w:val="1"/>
      </w:numPr>
      <w:spacing w:before="40" w:after="0" w:line="240" w:lineRule="auto"/>
      <w:outlineLvl w:val="5"/>
    </w:pPr>
    <w:rPr>
      <w:rFonts w:asciiTheme="majorHAnsi" w:eastAsiaTheme="majorEastAsia" w:hAnsiTheme="majorHAnsi" w:cstheme="majorBidi"/>
      <w:color w:val="1F4D78" w:themeColor="accent1" w:themeShade="7F"/>
      <w:sz w:val="24"/>
      <w:szCs w:val="24"/>
      <w:lang w:val="en-US"/>
    </w:rPr>
  </w:style>
  <w:style w:type="paragraph" w:styleId="Heading7">
    <w:name w:val="heading 7"/>
    <w:basedOn w:val="Normal"/>
    <w:next w:val="Normal"/>
    <w:link w:val="Heading7Char"/>
    <w:uiPriority w:val="9"/>
    <w:semiHidden/>
    <w:unhideWhenUsed/>
    <w:qFormat/>
    <w:pPr>
      <w:keepNext/>
      <w:keepLines/>
      <w:numPr>
        <w:ilvl w:val="6"/>
        <w:numId w:val="1"/>
      </w:numPr>
      <w:spacing w:before="40" w:after="0" w:line="240" w:lineRule="auto"/>
      <w:outlineLvl w:val="6"/>
    </w:pPr>
    <w:rPr>
      <w:rFonts w:asciiTheme="majorHAnsi" w:eastAsiaTheme="majorEastAsia" w:hAnsiTheme="majorHAnsi" w:cstheme="majorBidi"/>
      <w:i/>
      <w:iCs/>
      <w:color w:val="1F4D78" w:themeColor="accent1" w:themeShade="7F"/>
      <w:sz w:val="24"/>
      <w:szCs w:val="24"/>
      <w:lang w:val="en-US"/>
    </w:rPr>
  </w:style>
  <w:style w:type="paragraph" w:styleId="Heading8">
    <w:name w:val="heading 8"/>
    <w:basedOn w:val="Normal"/>
    <w:next w:val="Normal"/>
    <w:link w:val="Heading8Char"/>
    <w:uiPriority w:val="9"/>
    <w:semiHidden/>
    <w:unhideWhenUsed/>
    <w:qFormat/>
    <w:pPr>
      <w:keepNext/>
      <w:keepLines/>
      <w:numPr>
        <w:ilvl w:val="7"/>
        <w:numId w:val="1"/>
      </w:numPr>
      <w:spacing w:before="40" w:after="0" w:line="240" w:lineRule="auto"/>
      <w:outlineLvl w:val="7"/>
    </w:pPr>
    <w:rPr>
      <w:rFonts w:asciiTheme="majorHAnsi" w:eastAsiaTheme="majorEastAsia" w:hAnsiTheme="majorHAnsi" w:cstheme="majorBidi"/>
      <w:color w:val="272727" w:themeColor="text1" w:themeTint="D8"/>
      <w:sz w:val="21"/>
      <w:szCs w:val="21"/>
      <w:lang w:val="en-US"/>
    </w:rPr>
  </w:style>
  <w:style w:type="paragraph" w:styleId="Heading9">
    <w:name w:val="heading 9"/>
    <w:basedOn w:val="Normal"/>
    <w:next w:val="Normal"/>
    <w:link w:val="Heading9Char"/>
    <w:uiPriority w:val="9"/>
    <w:semiHidden/>
    <w:unhideWhenUsed/>
    <w:qFormat/>
    <w:pPr>
      <w:keepNext/>
      <w:keepLines/>
      <w:numPr>
        <w:ilvl w:val="8"/>
        <w:numId w:val="1"/>
      </w:numPr>
      <w:spacing w:before="40" w:after="0" w:line="240" w:lineRule="auto"/>
      <w:outlineLvl w:val="8"/>
    </w:pPr>
    <w:rPr>
      <w:rFonts w:asciiTheme="majorHAnsi" w:eastAsiaTheme="majorEastAsia" w:hAnsiTheme="majorHAnsi" w:cstheme="majorBidi"/>
      <w:i/>
      <w:iCs/>
      <w:color w:val="272727" w:themeColor="text1" w:themeTint="D8"/>
      <w:sz w:val="21"/>
      <w:szCs w:val="21"/>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olor w:val="2E74B5" w:themeColor="accent1" w:themeShade="BF"/>
      <w:sz w:val="32"/>
      <w:szCs w:val="32"/>
      <w:lang w:val="en-US"/>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2E74B5" w:themeColor="accent1" w:themeShade="BF"/>
      <w:sz w:val="26"/>
      <w:szCs w:val="26"/>
      <w:lang w:val="en-US"/>
    </w:rPr>
  </w:style>
  <w:style w:type="character" w:customStyle="1" w:styleId="Heading3Char">
    <w:name w:val="Heading 3 Char"/>
    <w:basedOn w:val="DefaultParagraphFont"/>
    <w:link w:val="Heading3"/>
    <w:uiPriority w:val="9"/>
    <w:rPr>
      <w:rFonts w:asciiTheme="majorHAnsi" w:eastAsiaTheme="majorEastAsia" w:hAnsiTheme="majorHAnsi" w:cstheme="majorBidi"/>
      <w:color w:val="1F4D78" w:themeColor="accent1" w:themeShade="7F"/>
      <w:sz w:val="24"/>
      <w:szCs w:val="24"/>
      <w:lang w:val="en-US"/>
    </w:rPr>
  </w:style>
  <w:style w:type="character" w:customStyle="1" w:styleId="Heading4Char">
    <w:name w:val="Heading 4 Char"/>
    <w:basedOn w:val="DefaultParagraphFont"/>
    <w:link w:val="Heading4"/>
    <w:uiPriority w:val="9"/>
    <w:rPr>
      <w:rFonts w:asciiTheme="majorHAnsi" w:eastAsiaTheme="majorEastAsia" w:hAnsiTheme="majorHAnsi" w:cstheme="majorBidi"/>
      <w:i/>
      <w:iCs/>
      <w:color w:val="2E74B5" w:themeColor="accent1" w:themeShade="BF"/>
      <w:sz w:val="24"/>
      <w:szCs w:val="24"/>
      <w:lang w:val="en-US"/>
    </w:rPr>
  </w:style>
  <w:style w:type="character" w:customStyle="1" w:styleId="Heading5Char">
    <w:name w:val="Heading 5 Char"/>
    <w:basedOn w:val="DefaultParagraphFont"/>
    <w:link w:val="Heading5"/>
    <w:uiPriority w:val="9"/>
    <w:rPr>
      <w:rFonts w:asciiTheme="majorHAnsi" w:eastAsiaTheme="majorEastAsia" w:hAnsiTheme="majorHAnsi" w:cstheme="majorBidi"/>
      <w:color w:val="2E74B5" w:themeColor="accent1" w:themeShade="BF"/>
      <w:sz w:val="24"/>
      <w:szCs w:val="24"/>
      <w:lang w:val="en-US"/>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1F4D78" w:themeColor="accent1" w:themeShade="7F"/>
      <w:sz w:val="24"/>
      <w:szCs w:val="24"/>
      <w:lang w:val="en-US"/>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1F4D78" w:themeColor="accent1" w:themeShade="7F"/>
      <w:sz w:val="24"/>
      <w:szCs w:val="24"/>
      <w:lang w:val="en-US"/>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color w:val="272727" w:themeColor="text1" w:themeTint="D8"/>
      <w:sz w:val="21"/>
      <w:szCs w:val="21"/>
      <w:lang w:val="en-US"/>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272727" w:themeColor="text1" w:themeTint="D8"/>
      <w:sz w:val="21"/>
      <w:szCs w:val="21"/>
      <w:lang w:val="en-US"/>
    </w:rPr>
  </w:style>
  <w:style w:type="paragraph" w:styleId="Caption">
    <w:name w:val="caption"/>
    <w:basedOn w:val="Normal"/>
    <w:next w:val="Normal"/>
    <w:uiPriority w:val="35"/>
    <w:unhideWhenUsed/>
    <w:qFormat/>
    <w:pPr>
      <w:spacing w:after="200" w:line="240" w:lineRule="auto"/>
    </w:pPr>
    <w:rPr>
      <w:i/>
      <w:iCs/>
      <w:color w:val="44546A" w:themeColor="text2"/>
      <w:sz w:val="18"/>
      <w:szCs w:val="18"/>
      <w:lang w:val="en-US"/>
    </w:rPr>
  </w:style>
  <w:style w:type="paragraph" w:styleId="Footer">
    <w:name w:val="footer"/>
    <w:basedOn w:val="Normal"/>
    <w:link w:val="FooterChar"/>
    <w:uiPriority w:val="99"/>
    <w:unhideWhenUsed/>
    <w:pPr>
      <w:tabs>
        <w:tab w:val="center" w:pos="4680"/>
        <w:tab w:val="right" w:pos="9360"/>
      </w:tabs>
      <w:spacing w:after="0" w:line="240" w:lineRule="auto"/>
    </w:pPr>
    <w:rPr>
      <w:sz w:val="24"/>
      <w:szCs w:val="24"/>
      <w:lang w:val="en-US"/>
    </w:rPr>
  </w:style>
  <w:style w:type="character" w:customStyle="1" w:styleId="FooterChar">
    <w:name w:val="Footer Char"/>
    <w:basedOn w:val="DefaultParagraphFont"/>
    <w:link w:val="Footer"/>
    <w:uiPriority w:val="99"/>
    <w:rPr>
      <w:sz w:val="24"/>
      <w:szCs w:val="24"/>
      <w:lang w:val="en-US"/>
    </w:rPr>
  </w:style>
  <w:style w:type="character" w:styleId="PageNumber">
    <w:name w:val="page number"/>
    <w:basedOn w:val="DefaultParagraphFont"/>
    <w:uiPriority w:val="99"/>
    <w:semiHidden/>
    <w:unhideWhenUsed/>
  </w:style>
  <w:style w:type="table" w:styleId="PlainTable2">
    <w:name w:val="Plain Table 2"/>
    <w:basedOn w:val="TableNormal"/>
    <w:uiPriority w:val="42"/>
    <w:pPr>
      <w:spacing w:after="0" w:line="240" w:lineRule="auto"/>
    </w:pPr>
    <w:rPr>
      <w:sz w:val="24"/>
      <w:szCs w:val="24"/>
      <w:lang w:val="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LineNumber">
    <w:name w:val="line number"/>
    <w:basedOn w:val="DefaultParagraphFon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tiff"/><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3.emf"/><Relationship Id="rId12" Type="http://schemas.openxmlformats.org/officeDocument/2006/relationships/image" Target="media/image8.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tiff"/><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6.tiff"/><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10</Pages>
  <Words>786</Words>
  <Characters>4482</Characters>
  <Application>Microsoft Office Word</Application>
  <DocSecurity>0</DocSecurity>
  <Lines>37</Lines>
  <Paragraphs>10</Paragraphs>
  <ScaleCrop>false</ScaleCrop>
  <Company>HP Inc.</Company>
  <LinksUpToDate>false</LinksUpToDate>
  <CharactersWithSpaces>5258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Maheswaran, N</dc:creator>
  <cp:keywords/>
  <dc:description/>
  <cp:lastModifiedBy>Maheswaran, N</cp:lastModifiedBy>
  <cp:revision>2</cp:revision>
  <dcterms:created xsi:type="dcterms:W3CDTF">2022-03-23T15:32:00Z</dcterms:created>
  <dcterms:modified xsi:type="dcterms:W3CDTF">2022-03-23T15:33:00Z</dcterms:modified>
</cp:coreProperties>
</file>